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30F2" w14:textId="77777777" w:rsidR="00AE498C" w:rsidRPr="009F0619" w:rsidRDefault="00846550" w:rsidP="00A3692D">
      <w:pPr>
        <w:tabs>
          <w:tab w:val="left" w:pos="6946"/>
        </w:tabs>
        <w:rPr>
          <w:lang w:val="hr-HR"/>
        </w:rPr>
      </w:pPr>
      <w:r w:rsidRPr="009F0619">
        <w:rPr>
          <w:lang w:val="hr-HR"/>
        </w:rPr>
        <w:t>GRAD KRK,</w:t>
      </w:r>
      <w:r w:rsidR="00A3692D" w:rsidRPr="009F0619">
        <w:rPr>
          <w:lang w:val="hr-HR"/>
        </w:rPr>
        <w:t xml:space="preserve">                                                                          </w:t>
      </w:r>
      <w:r w:rsidR="00C748A2">
        <w:rPr>
          <w:lang w:val="hr-HR"/>
        </w:rPr>
        <w:t xml:space="preserve">            </w:t>
      </w:r>
      <w:r w:rsidR="00A3692D" w:rsidRPr="009F0619">
        <w:rPr>
          <w:lang w:val="hr-HR"/>
        </w:rPr>
        <w:t xml:space="preserve">       RKP: </w:t>
      </w:r>
      <w:r w:rsidR="005244FC">
        <w:rPr>
          <w:lang w:val="hr-HR"/>
        </w:rPr>
        <w:t xml:space="preserve">              </w:t>
      </w:r>
      <w:r w:rsidR="00A3692D" w:rsidRPr="009F0619">
        <w:rPr>
          <w:lang w:val="hr-HR"/>
        </w:rPr>
        <w:t>30793</w:t>
      </w:r>
    </w:p>
    <w:p w14:paraId="029A9CD1" w14:textId="77777777" w:rsidR="00846550" w:rsidRPr="009F0619" w:rsidRDefault="00846550" w:rsidP="00A3692D">
      <w:pPr>
        <w:tabs>
          <w:tab w:val="left" w:pos="6663"/>
        </w:tabs>
        <w:rPr>
          <w:lang w:val="hr-HR"/>
        </w:rPr>
      </w:pPr>
      <w:r w:rsidRPr="009F0619">
        <w:rPr>
          <w:lang w:val="hr-HR"/>
        </w:rPr>
        <w:t>DJEČJI VRTIĆ „KATARINA  FRANKOPAN“</w:t>
      </w:r>
      <w:r w:rsidR="00A3692D" w:rsidRPr="009F0619">
        <w:rPr>
          <w:lang w:val="hr-HR"/>
        </w:rPr>
        <w:t xml:space="preserve">                                     Razina: </w:t>
      </w:r>
      <w:r w:rsidR="005244FC">
        <w:rPr>
          <w:lang w:val="hr-HR"/>
        </w:rPr>
        <w:t xml:space="preserve">           </w:t>
      </w:r>
      <w:r w:rsidR="00A3692D" w:rsidRPr="009F0619">
        <w:rPr>
          <w:lang w:val="hr-HR"/>
        </w:rPr>
        <w:t>21</w:t>
      </w:r>
    </w:p>
    <w:p w14:paraId="007EBCCB" w14:textId="77777777" w:rsidR="00846550" w:rsidRPr="009F0619" w:rsidRDefault="005E4BEA" w:rsidP="00A3692D">
      <w:pPr>
        <w:tabs>
          <w:tab w:val="left" w:pos="6663"/>
        </w:tabs>
        <w:rPr>
          <w:lang w:val="hr-HR"/>
        </w:rPr>
      </w:pPr>
      <w:r>
        <w:rPr>
          <w:lang w:val="hr-HR"/>
        </w:rPr>
        <w:t>Smokvik</w:t>
      </w:r>
      <w:r w:rsidR="00846550" w:rsidRPr="009F0619">
        <w:rPr>
          <w:lang w:val="hr-HR"/>
        </w:rPr>
        <w:t xml:space="preserve"> 7, </w:t>
      </w:r>
      <w:r w:rsidR="00A3692D" w:rsidRPr="009F0619">
        <w:rPr>
          <w:lang w:val="hr-HR"/>
        </w:rPr>
        <w:t xml:space="preserve">51 500 </w:t>
      </w:r>
      <w:r>
        <w:rPr>
          <w:lang w:val="hr-HR"/>
        </w:rPr>
        <w:t xml:space="preserve">Krk       </w:t>
      </w:r>
      <w:r w:rsidR="00A3692D" w:rsidRPr="009F0619">
        <w:rPr>
          <w:lang w:val="hr-HR"/>
        </w:rPr>
        <w:t xml:space="preserve">                                                      </w:t>
      </w:r>
      <w:r w:rsidR="00C748A2">
        <w:rPr>
          <w:lang w:val="hr-HR"/>
        </w:rPr>
        <w:t xml:space="preserve">         </w:t>
      </w:r>
      <w:r w:rsidR="00A3692D" w:rsidRPr="009F0619">
        <w:rPr>
          <w:lang w:val="hr-HR"/>
        </w:rPr>
        <w:t xml:space="preserve">       Razdjel: </w:t>
      </w:r>
      <w:r w:rsidR="005244FC">
        <w:rPr>
          <w:lang w:val="hr-HR"/>
        </w:rPr>
        <w:t xml:space="preserve">          </w:t>
      </w:r>
      <w:r w:rsidR="00A3692D" w:rsidRPr="009F0619">
        <w:rPr>
          <w:lang w:val="hr-HR"/>
        </w:rPr>
        <w:t>000</w:t>
      </w:r>
    </w:p>
    <w:p w14:paraId="191D7A70" w14:textId="77777777" w:rsidR="00846550" w:rsidRPr="009F0619" w:rsidRDefault="00A3692D" w:rsidP="00A3692D">
      <w:pPr>
        <w:tabs>
          <w:tab w:val="left" w:pos="6663"/>
        </w:tabs>
        <w:rPr>
          <w:lang w:val="hr-HR"/>
        </w:rPr>
      </w:pPr>
      <w:r w:rsidRPr="009F0619">
        <w:rPr>
          <w:lang w:val="hr-HR"/>
        </w:rPr>
        <w:t>Matični broj</w:t>
      </w:r>
      <w:r w:rsidR="00846550" w:rsidRPr="009F0619">
        <w:rPr>
          <w:lang w:val="hr-HR"/>
        </w:rPr>
        <w:t>: 03033384</w:t>
      </w:r>
      <w:r w:rsidRPr="009F0619">
        <w:rPr>
          <w:lang w:val="hr-HR"/>
        </w:rPr>
        <w:t xml:space="preserve">                                                       </w:t>
      </w:r>
      <w:r w:rsidR="00C748A2">
        <w:rPr>
          <w:lang w:val="hr-HR"/>
        </w:rPr>
        <w:t xml:space="preserve">               </w:t>
      </w:r>
      <w:r w:rsidRPr="009F0619">
        <w:rPr>
          <w:lang w:val="hr-HR"/>
        </w:rPr>
        <w:t xml:space="preserve">      Šifra županije: 8</w:t>
      </w:r>
    </w:p>
    <w:p w14:paraId="1AEED820" w14:textId="77777777" w:rsidR="005E4BEA" w:rsidRDefault="00846550" w:rsidP="00A3692D">
      <w:pPr>
        <w:tabs>
          <w:tab w:val="left" w:pos="6663"/>
          <w:tab w:val="left" w:pos="6946"/>
          <w:tab w:val="left" w:pos="7088"/>
        </w:tabs>
        <w:rPr>
          <w:lang w:val="hr-HR"/>
        </w:rPr>
      </w:pPr>
      <w:r w:rsidRPr="009F0619">
        <w:rPr>
          <w:lang w:val="hr-HR"/>
        </w:rPr>
        <w:t>OIB: 18452601525</w:t>
      </w:r>
      <w:r w:rsidR="005E4BEA">
        <w:rPr>
          <w:lang w:val="hr-HR"/>
        </w:rPr>
        <w:t xml:space="preserve">                                                                                  </w:t>
      </w:r>
      <w:r w:rsidR="00A3692D" w:rsidRPr="009F0619">
        <w:rPr>
          <w:lang w:val="hr-HR"/>
        </w:rPr>
        <w:t xml:space="preserve"> </w:t>
      </w:r>
      <w:r w:rsidR="005E4BEA">
        <w:rPr>
          <w:lang w:val="hr-HR"/>
        </w:rPr>
        <w:t>Šifra grada</w:t>
      </w:r>
      <w:r w:rsidR="005E4BEA" w:rsidRPr="009F0619">
        <w:rPr>
          <w:lang w:val="hr-HR"/>
        </w:rPr>
        <w:t xml:space="preserve">: </w:t>
      </w:r>
      <w:r w:rsidR="005E4BEA">
        <w:rPr>
          <w:lang w:val="hr-HR"/>
        </w:rPr>
        <w:t xml:space="preserve">     </w:t>
      </w:r>
      <w:r w:rsidR="005E4BEA" w:rsidRPr="009F0619">
        <w:rPr>
          <w:lang w:val="hr-HR"/>
        </w:rPr>
        <w:t>215</w:t>
      </w:r>
    </w:p>
    <w:p w14:paraId="57E6083D" w14:textId="77777777" w:rsidR="00846550" w:rsidRPr="009F0619" w:rsidRDefault="005E4BEA" w:rsidP="00A3692D">
      <w:pPr>
        <w:tabs>
          <w:tab w:val="left" w:pos="6663"/>
          <w:tab w:val="left" w:pos="6946"/>
          <w:tab w:val="left" w:pos="7088"/>
        </w:tabs>
        <w:rPr>
          <w:lang w:val="hr-HR"/>
        </w:rPr>
      </w:pPr>
      <w:r>
        <w:rPr>
          <w:lang w:val="hr-HR"/>
        </w:rPr>
        <w:t>MB: 03033384</w:t>
      </w:r>
      <w:r w:rsidR="00A3692D" w:rsidRPr="009F0619">
        <w:rPr>
          <w:lang w:val="hr-HR"/>
        </w:rPr>
        <w:t xml:space="preserve">                                                                       </w:t>
      </w:r>
      <w:r>
        <w:rPr>
          <w:lang w:val="hr-HR"/>
        </w:rPr>
        <w:t xml:space="preserve">       </w:t>
      </w:r>
      <w:r w:rsidR="00A3692D" w:rsidRPr="009F0619">
        <w:rPr>
          <w:lang w:val="hr-HR"/>
        </w:rPr>
        <w:t xml:space="preserve">         </w:t>
      </w:r>
      <w:r w:rsidR="005244FC">
        <w:rPr>
          <w:lang w:val="hr-HR"/>
        </w:rPr>
        <w:t xml:space="preserve">  </w:t>
      </w:r>
    </w:p>
    <w:p w14:paraId="2ED6FC8E" w14:textId="77777777" w:rsidR="00A3692D" w:rsidRPr="009F0619" w:rsidRDefault="00A3692D" w:rsidP="00A3692D">
      <w:pPr>
        <w:tabs>
          <w:tab w:val="left" w:pos="6663"/>
        </w:tabs>
        <w:rPr>
          <w:lang w:val="hr-HR"/>
        </w:rPr>
      </w:pPr>
      <w:r w:rsidRPr="009F0619">
        <w:rPr>
          <w:lang w:val="hr-HR"/>
        </w:rPr>
        <w:t xml:space="preserve">Šifra djelatnosti: 8510                                                            </w:t>
      </w:r>
    </w:p>
    <w:p w14:paraId="08A398C0" w14:textId="77777777" w:rsidR="00A3692D" w:rsidRPr="009F0619" w:rsidRDefault="00A3692D">
      <w:pPr>
        <w:rPr>
          <w:lang w:val="hr-HR"/>
        </w:rPr>
      </w:pPr>
      <w:r w:rsidRPr="009F0619">
        <w:rPr>
          <w:lang w:val="hr-HR"/>
        </w:rPr>
        <w:t>predškolsko obrazovanje</w:t>
      </w:r>
    </w:p>
    <w:p w14:paraId="0727A3F8" w14:textId="77777777" w:rsidR="00AE498C" w:rsidRPr="009F0619" w:rsidRDefault="00AE498C">
      <w:pPr>
        <w:rPr>
          <w:lang w:val="hr-HR"/>
        </w:rPr>
      </w:pPr>
    </w:p>
    <w:p w14:paraId="16CA06A3" w14:textId="77777777" w:rsidR="00AD0C96" w:rsidRDefault="00444FCE">
      <w:pPr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 xml:space="preserve"> </w:t>
      </w:r>
    </w:p>
    <w:p w14:paraId="5F6D4EC4" w14:textId="77777777" w:rsidR="001803C6" w:rsidRPr="00980D92" w:rsidRDefault="001803C6">
      <w:pPr>
        <w:rPr>
          <w:rFonts w:ascii="Bookman Old Style" w:hAnsi="Bookman Old Style"/>
          <w:lang w:val="hr-HR"/>
        </w:rPr>
      </w:pPr>
    </w:p>
    <w:p w14:paraId="7F738DD7" w14:textId="77777777" w:rsidR="00444FCE" w:rsidRPr="00C748A2" w:rsidRDefault="00444FCE">
      <w:pPr>
        <w:rPr>
          <w:b/>
          <w:lang w:val="hr-HR"/>
        </w:rPr>
      </w:pPr>
      <w:r w:rsidRPr="00C748A2">
        <w:rPr>
          <w:b/>
          <w:lang w:val="hr-HR"/>
        </w:rPr>
        <w:t xml:space="preserve">                 </w:t>
      </w:r>
      <w:r w:rsidR="00C748A2" w:rsidRPr="00C748A2">
        <w:rPr>
          <w:b/>
          <w:lang w:val="hr-HR"/>
        </w:rPr>
        <w:t xml:space="preserve">    </w:t>
      </w:r>
      <w:r w:rsidR="001E2437">
        <w:rPr>
          <w:b/>
          <w:lang w:val="hr-HR"/>
        </w:rPr>
        <w:t xml:space="preserve">        </w:t>
      </w:r>
      <w:r w:rsidR="00C748A2" w:rsidRPr="00C748A2">
        <w:rPr>
          <w:b/>
          <w:lang w:val="hr-HR"/>
        </w:rPr>
        <w:t xml:space="preserve"> </w:t>
      </w:r>
      <w:r w:rsidRPr="00C748A2">
        <w:rPr>
          <w:b/>
          <w:lang w:val="hr-HR"/>
        </w:rPr>
        <w:t xml:space="preserve">  </w:t>
      </w:r>
      <w:r w:rsidR="001364BF" w:rsidRPr="00C748A2">
        <w:rPr>
          <w:b/>
          <w:lang w:val="hr-HR"/>
        </w:rPr>
        <w:t>BILJ</w:t>
      </w:r>
      <w:r w:rsidR="00B22B97">
        <w:rPr>
          <w:b/>
          <w:lang w:val="hr-HR"/>
        </w:rPr>
        <w:t>EŠKE UZ</w:t>
      </w:r>
      <w:r w:rsidR="004F140D">
        <w:rPr>
          <w:b/>
          <w:lang w:val="hr-HR"/>
        </w:rPr>
        <w:t xml:space="preserve"> FINANCIJSKO</w:t>
      </w:r>
      <w:r w:rsidR="0075255F">
        <w:rPr>
          <w:b/>
          <w:lang w:val="hr-HR"/>
        </w:rPr>
        <w:t xml:space="preserve"> </w:t>
      </w:r>
      <w:r w:rsidR="004F140D">
        <w:rPr>
          <w:b/>
          <w:lang w:val="hr-HR"/>
        </w:rPr>
        <w:t>IZVJEŠĆE PR-RAS</w:t>
      </w:r>
    </w:p>
    <w:p w14:paraId="0F156CBE" w14:textId="77777777" w:rsidR="00B6011F" w:rsidRPr="00444FCE" w:rsidRDefault="00444FCE">
      <w:pPr>
        <w:rPr>
          <w:lang w:val="hr-HR"/>
        </w:rPr>
      </w:pPr>
      <w:r w:rsidRPr="00444FCE">
        <w:rPr>
          <w:lang w:val="hr-HR"/>
        </w:rPr>
        <w:t xml:space="preserve">                      </w:t>
      </w:r>
      <w:r>
        <w:rPr>
          <w:lang w:val="hr-HR"/>
        </w:rPr>
        <w:t xml:space="preserve">        </w:t>
      </w:r>
      <w:r w:rsidRPr="00444FCE">
        <w:rPr>
          <w:lang w:val="hr-HR"/>
        </w:rPr>
        <w:t xml:space="preserve"> </w:t>
      </w:r>
      <w:r w:rsidR="001E2437">
        <w:rPr>
          <w:lang w:val="hr-HR"/>
        </w:rPr>
        <w:t xml:space="preserve">     </w:t>
      </w:r>
      <w:r w:rsidRPr="00444FCE">
        <w:rPr>
          <w:lang w:val="hr-HR"/>
        </w:rPr>
        <w:t xml:space="preserve">za razdoblje </w:t>
      </w:r>
      <w:r w:rsidR="007671E6">
        <w:rPr>
          <w:lang w:val="hr-HR"/>
        </w:rPr>
        <w:t>0</w:t>
      </w:r>
      <w:r w:rsidR="00B22B97">
        <w:rPr>
          <w:lang w:val="hr-HR"/>
        </w:rPr>
        <w:t>1.01.-30.06.202</w:t>
      </w:r>
      <w:r w:rsidR="006D0F19">
        <w:rPr>
          <w:lang w:val="hr-HR"/>
        </w:rPr>
        <w:t>3</w:t>
      </w:r>
      <w:r w:rsidRPr="00444FCE">
        <w:rPr>
          <w:lang w:val="hr-HR"/>
        </w:rPr>
        <w:t>.godine</w:t>
      </w:r>
    </w:p>
    <w:p w14:paraId="43F95D69" w14:textId="77777777" w:rsidR="00604C3C" w:rsidRDefault="00604C3C" w:rsidP="00AD0C96">
      <w:pPr>
        <w:ind w:firstLine="720"/>
        <w:rPr>
          <w:rFonts w:ascii="Bookman Old Style" w:hAnsi="Bookman Old Style"/>
          <w:b/>
          <w:lang w:val="hr-HR"/>
        </w:rPr>
      </w:pPr>
    </w:p>
    <w:p w14:paraId="50815B50" w14:textId="77777777" w:rsidR="009F0619" w:rsidRPr="00980D92" w:rsidRDefault="009F0619" w:rsidP="00AD0C96">
      <w:pPr>
        <w:ind w:firstLine="720"/>
        <w:rPr>
          <w:rFonts w:ascii="Bookman Old Style" w:hAnsi="Bookman Old Style"/>
          <w:b/>
          <w:lang w:val="hr-HR"/>
        </w:rPr>
      </w:pPr>
    </w:p>
    <w:p w14:paraId="0D98E18F" w14:textId="77777777" w:rsidR="00B6011F" w:rsidRPr="004C0EAC" w:rsidRDefault="00DF2A17">
      <w:pPr>
        <w:jc w:val="both"/>
        <w:rPr>
          <w:sz w:val="22"/>
          <w:szCs w:val="22"/>
          <w:lang w:val="hr-HR"/>
        </w:rPr>
      </w:pPr>
      <w:r w:rsidRPr="004C0EAC">
        <w:rPr>
          <w:rFonts w:ascii="Bookman Old Style" w:hAnsi="Bookman Old Style"/>
          <w:sz w:val="22"/>
          <w:szCs w:val="22"/>
          <w:lang w:val="hr-HR"/>
        </w:rPr>
        <w:t xml:space="preserve">       </w:t>
      </w:r>
      <w:r w:rsidR="00A63A03" w:rsidRPr="004C0EAC">
        <w:rPr>
          <w:sz w:val="22"/>
          <w:szCs w:val="22"/>
          <w:lang w:val="hr-HR"/>
        </w:rPr>
        <w:t>Grad Krk,</w:t>
      </w:r>
      <w:r w:rsidR="00FD5899" w:rsidRPr="004C0EAC">
        <w:rPr>
          <w:sz w:val="22"/>
          <w:szCs w:val="22"/>
          <w:lang w:val="hr-HR"/>
        </w:rPr>
        <w:t xml:space="preserve"> Dječji vrtić</w:t>
      </w:r>
      <w:r w:rsidRPr="004C0EAC">
        <w:rPr>
          <w:sz w:val="22"/>
          <w:szCs w:val="22"/>
          <w:lang w:val="hr-HR"/>
        </w:rPr>
        <w:t xml:space="preserve"> „Katarina Frankopan“ proračunski je korisnik Grada Krka. Ustanova obavlja djelatnost na području otoka Krka</w:t>
      </w:r>
      <w:r w:rsidR="00394A58" w:rsidRPr="004C0EAC">
        <w:rPr>
          <w:sz w:val="22"/>
          <w:szCs w:val="22"/>
          <w:lang w:val="hr-HR"/>
        </w:rPr>
        <w:t>, obuhvaća općine: Omišalj, Malinska-</w:t>
      </w:r>
      <w:proofErr w:type="spellStart"/>
      <w:r w:rsidR="00394A58" w:rsidRPr="004C0EAC">
        <w:rPr>
          <w:sz w:val="22"/>
          <w:szCs w:val="22"/>
          <w:lang w:val="hr-HR"/>
        </w:rPr>
        <w:t>Dubašnica</w:t>
      </w:r>
      <w:proofErr w:type="spellEnd"/>
      <w:r w:rsidR="00394A58" w:rsidRPr="004C0EAC">
        <w:rPr>
          <w:sz w:val="22"/>
          <w:szCs w:val="22"/>
          <w:lang w:val="hr-HR"/>
        </w:rPr>
        <w:t xml:space="preserve">, </w:t>
      </w:r>
      <w:proofErr w:type="spellStart"/>
      <w:r w:rsidR="00394A58" w:rsidRPr="004C0EAC">
        <w:rPr>
          <w:sz w:val="22"/>
          <w:szCs w:val="22"/>
          <w:lang w:val="hr-HR"/>
        </w:rPr>
        <w:t>Dobrinj</w:t>
      </w:r>
      <w:proofErr w:type="spellEnd"/>
      <w:r w:rsidR="00394A58" w:rsidRPr="004C0EAC">
        <w:rPr>
          <w:sz w:val="22"/>
          <w:szCs w:val="22"/>
          <w:lang w:val="hr-HR"/>
        </w:rPr>
        <w:t xml:space="preserve">, Vrbnik, </w:t>
      </w:r>
      <w:r w:rsidR="007671E6">
        <w:rPr>
          <w:sz w:val="22"/>
          <w:szCs w:val="22"/>
          <w:lang w:val="hr-HR"/>
        </w:rPr>
        <w:t xml:space="preserve">Punat, </w:t>
      </w:r>
      <w:r w:rsidR="00394A58" w:rsidRPr="004C0EAC">
        <w:rPr>
          <w:sz w:val="22"/>
          <w:szCs w:val="22"/>
          <w:lang w:val="hr-HR"/>
        </w:rPr>
        <w:t>Baška i Grad Krk.</w:t>
      </w:r>
    </w:p>
    <w:p w14:paraId="3D11E817" w14:textId="77777777" w:rsidR="005A3687" w:rsidRDefault="00394A58">
      <w:pPr>
        <w:jc w:val="both"/>
        <w:rPr>
          <w:sz w:val="22"/>
          <w:szCs w:val="22"/>
          <w:lang w:val="hr-HR"/>
        </w:rPr>
      </w:pPr>
      <w:r w:rsidRPr="004C0EAC">
        <w:rPr>
          <w:sz w:val="22"/>
          <w:szCs w:val="22"/>
          <w:lang w:val="hr-HR"/>
        </w:rPr>
        <w:t>Dječji vrtić financira se proračunskim sredstvima nadležnog proračuna Grada Krka</w:t>
      </w:r>
      <w:r w:rsidR="004B670A">
        <w:rPr>
          <w:sz w:val="22"/>
          <w:szCs w:val="22"/>
          <w:lang w:val="hr-HR"/>
        </w:rPr>
        <w:t xml:space="preserve">, </w:t>
      </w:r>
      <w:r w:rsidRPr="004C0EAC">
        <w:rPr>
          <w:sz w:val="22"/>
          <w:szCs w:val="22"/>
          <w:lang w:val="hr-HR"/>
        </w:rPr>
        <w:t>sredstvima nenadležnih</w:t>
      </w:r>
      <w:r w:rsidR="00B22B97">
        <w:rPr>
          <w:sz w:val="22"/>
          <w:szCs w:val="22"/>
          <w:lang w:val="hr-HR"/>
        </w:rPr>
        <w:t xml:space="preserve"> proračuna otočkih općina, </w:t>
      </w:r>
      <w:r w:rsidR="004B670A">
        <w:rPr>
          <w:sz w:val="22"/>
          <w:szCs w:val="22"/>
          <w:lang w:val="hr-HR"/>
        </w:rPr>
        <w:t xml:space="preserve">sredstvima Ministarstva znanosti i obrazovanja za djecu s posebnim potrebama </w:t>
      </w:r>
      <w:r w:rsidR="00B22B97">
        <w:rPr>
          <w:sz w:val="22"/>
          <w:szCs w:val="22"/>
          <w:lang w:val="hr-HR"/>
        </w:rPr>
        <w:t xml:space="preserve">kao i prihoda po posebnim propisima a to su </w:t>
      </w:r>
      <w:r w:rsidRPr="004C0EAC">
        <w:rPr>
          <w:sz w:val="22"/>
          <w:szCs w:val="22"/>
          <w:lang w:val="hr-HR"/>
        </w:rPr>
        <w:t xml:space="preserve"> </w:t>
      </w:r>
      <w:r w:rsidR="00B22B97">
        <w:rPr>
          <w:sz w:val="22"/>
          <w:szCs w:val="22"/>
          <w:lang w:val="hr-HR"/>
        </w:rPr>
        <w:t>uplate roditelja</w:t>
      </w:r>
      <w:r w:rsidRPr="004C0EAC">
        <w:rPr>
          <w:sz w:val="22"/>
          <w:szCs w:val="22"/>
          <w:lang w:val="hr-HR"/>
        </w:rPr>
        <w:t xml:space="preserve"> te ostalih financijskih prihoda (</w:t>
      </w:r>
      <w:r w:rsidR="00B22B97">
        <w:rPr>
          <w:sz w:val="22"/>
          <w:szCs w:val="22"/>
          <w:lang w:val="hr-HR"/>
        </w:rPr>
        <w:t xml:space="preserve"> kamate na depozite po viđenju, prihoda od refundacija za štete i prihoda od donacija trgovačkih društava</w:t>
      </w:r>
      <w:r w:rsidRPr="004C0EAC">
        <w:rPr>
          <w:sz w:val="22"/>
          <w:szCs w:val="22"/>
          <w:lang w:val="hr-HR"/>
        </w:rPr>
        <w:t>).</w:t>
      </w:r>
    </w:p>
    <w:p w14:paraId="73019C95" w14:textId="77777777" w:rsidR="00394A58" w:rsidRDefault="005A36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 Krk, </w:t>
      </w:r>
      <w:r w:rsidR="00A63A03" w:rsidRPr="004C0EAC">
        <w:rPr>
          <w:sz w:val="22"/>
          <w:szCs w:val="22"/>
          <w:lang w:val="hr-HR"/>
        </w:rPr>
        <w:t xml:space="preserve">Dječji vrtić „Katarina Frankopan“ je ustanova predškolskog </w:t>
      </w:r>
      <w:r w:rsidR="00841C4E">
        <w:rPr>
          <w:sz w:val="22"/>
          <w:szCs w:val="22"/>
          <w:lang w:val="hr-HR"/>
        </w:rPr>
        <w:t>odgoja i obrazovanja te</w:t>
      </w:r>
      <w:r w:rsidR="00A63A03" w:rsidRPr="004C0EAC">
        <w:rPr>
          <w:sz w:val="22"/>
          <w:szCs w:val="22"/>
          <w:lang w:val="hr-HR"/>
        </w:rPr>
        <w:t xml:space="preserve"> osigurava skrb za djecu predškolskog uzrasta kao i udovoljavanju potreba roditelja. Ustanova djelu</w:t>
      </w:r>
      <w:r w:rsidR="00470E79">
        <w:rPr>
          <w:sz w:val="22"/>
          <w:szCs w:val="22"/>
          <w:lang w:val="hr-HR"/>
        </w:rPr>
        <w:t>je u matičnom vrtiću Krk i devet</w:t>
      </w:r>
      <w:r w:rsidR="00A63A03" w:rsidRPr="004C0EAC">
        <w:rPr>
          <w:sz w:val="22"/>
          <w:szCs w:val="22"/>
          <w:lang w:val="hr-HR"/>
        </w:rPr>
        <w:t xml:space="preserve"> područnih v</w:t>
      </w:r>
      <w:r w:rsidR="005E4BEA">
        <w:rPr>
          <w:sz w:val="22"/>
          <w:szCs w:val="22"/>
          <w:lang w:val="hr-HR"/>
        </w:rPr>
        <w:t>rtića u čijem je sastavu</w:t>
      </w:r>
      <w:r w:rsidR="00470E79">
        <w:rPr>
          <w:sz w:val="22"/>
          <w:szCs w:val="22"/>
          <w:lang w:val="hr-HR"/>
        </w:rPr>
        <w:t xml:space="preserve"> </w:t>
      </w:r>
      <w:r w:rsidR="00D228E1">
        <w:rPr>
          <w:sz w:val="22"/>
          <w:szCs w:val="22"/>
          <w:lang w:val="hr-HR"/>
        </w:rPr>
        <w:t>41</w:t>
      </w:r>
      <w:r w:rsidR="005E4BEA">
        <w:rPr>
          <w:sz w:val="22"/>
          <w:szCs w:val="22"/>
          <w:lang w:val="hr-HR"/>
        </w:rPr>
        <w:t xml:space="preserve"> odgojn</w:t>
      </w:r>
      <w:r w:rsidR="00D228E1">
        <w:rPr>
          <w:sz w:val="22"/>
          <w:szCs w:val="22"/>
          <w:lang w:val="hr-HR"/>
        </w:rPr>
        <w:t>a</w:t>
      </w:r>
      <w:r w:rsidR="00A63A03" w:rsidRPr="004C0EAC">
        <w:rPr>
          <w:sz w:val="22"/>
          <w:szCs w:val="22"/>
          <w:lang w:val="hr-HR"/>
        </w:rPr>
        <w:t xml:space="preserve"> skupin</w:t>
      </w:r>
      <w:r w:rsidR="005E4BEA">
        <w:rPr>
          <w:sz w:val="22"/>
          <w:szCs w:val="22"/>
          <w:lang w:val="hr-HR"/>
        </w:rPr>
        <w:t>a</w:t>
      </w:r>
      <w:r w:rsidR="00A63A03" w:rsidRPr="004C0EAC">
        <w:rPr>
          <w:sz w:val="22"/>
          <w:szCs w:val="22"/>
          <w:lang w:val="hr-HR"/>
        </w:rPr>
        <w:t>.</w:t>
      </w:r>
    </w:p>
    <w:p w14:paraId="1FE1055B" w14:textId="77777777" w:rsidR="005E4BEA" w:rsidRPr="004C0EAC" w:rsidRDefault="005E4BE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Bilješke uz financijske izvještaje </w:t>
      </w:r>
      <w:r w:rsidR="00C432DB">
        <w:rPr>
          <w:sz w:val="22"/>
          <w:szCs w:val="22"/>
          <w:lang w:val="hr-HR"/>
        </w:rPr>
        <w:t xml:space="preserve"> sukladno članku 1</w:t>
      </w:r>
      <w:r w:rsidR="00B6724A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 Pravilnika o financijskom iz</w:t>
      </w:r>
      <w:r w:rsidR="004628A9">
        <w:rPr>
          <w:sz w:val="22"/>
          <w:szCs w:val="22"/>
          <w:lang w:val="hr-HR"/>
        </w:rPr>
        <w:t>vještavanju u proračunskom računovodstvu ( N.N. 3</w:t>
      </w:r>
      <w:r w:rsidR="00B6724A">
        <w:rPr>
          <w:sz w:val="22"/>
          <w:szCs w:val="22"/>
          <w:lang w:val="hr-HR"/>
        </w:rPr>
        <w:t>7/22</w:t>
      </w:r>
      <w:r w:rsidR="004628A9">
        <w:rPr>
          <w:sz w:val="22"/>
          <w:szCs w:val="22"/>
          <w:lang w:val="hr-HR"/>
        </w:rPr>
        <w:t xml:space="preserve">.) su sastavni dio financijskih izvještaja proračuna i proračunskih korisnika. Svrha bilješki je informiranje o financijskom položaju i ostvarenju financijskog plana. </w:t>
      </w:r>
    </w:p>
    <w:p w14:paraId="1697260A" w14:textId="77777777" w:rsidR="003C6231" w:rsidRPr="004C0EAC" w:rsidRDefault="00CF500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Ustanova je ostvarila u navedenom razdoblju slijedeće prihode i rashode:</w:t>
      </w:r>
    </w:p>
    <w:p w14:paraId="3F9B0707" w14:textId="77777777" w:rsidR="009F57C2" w:rsidRDefault="003C6231">
      <w:pPr>
        <w:jc w:val="both"/>
        <w:rPr>
          <w:b/>
          <w:lang w:val="hr-HR"/>
        </w:rPr>
      </w:pPr>
      <w:r w:rsidRPr="00A6734A">
        <w:rPr>
          <w:lang w:val="hr-HR"/>
        </w:rPr>
        <w:t xml:space="preserve">       </w:t>
      </w:r>
      <w:r w:rsidR="00A6734A">
        <w:rPr>
          <w:lang w:val="hr-HR"/>
        </w:rPr>
        <w:t xml:space="preserve">         </w:t>
      </w:r>
      <w:r w:rsidRPr="00A6734A">
        <w:rPr>
          <w:lang w:val="hr-HR"/>
        </w:rPr>
        <w:t xml:space="preserve">   </w:t>
      </w:r>
    </w:p>
    <w:p w14:paraId="396976A1" w14:textId="77777777" w:rsidR="00704B81" w:rsidRDefault="009F57C2" w:rsidP="009F57C2">
      <w:pPr>
        <w:numPr>
          <w:ilvl w:val="0"/>
          <w:numId w:val="9"/>
        </w:numPr>
        <w:jc w:val="both"/>
        <w:rPr>
          <w:b/>
          <w:sz w:val="22"/>
          <w:szCs w:val="22"/>
          <w:lang w:val="hr-HR"/>
        </w:rPr>
      </w:pPr>
      <w:r w:rsidRPr="009F57C2">
        <w:rPr>
          <w:b/>
          <w:sz w:val="22"/>
          <w:szCs w:val="22"/>
          <w:lang w:val="hr-HR"/>
        </w:rPr>
        <w:t>REZULTAT POSLOVANJA IZVJEŠTAJNOG RAZDOBLJA</w:t>
      </w:r>
    </w:p>
    <w:p w14:paraId="1DF8C539" w14:textId="77777777" w:rsidR="00B453C1" w:rsidRDefault="00B453C1" w:rsidP="00B453C1">
      <w:pPr>
        <w:ind w:left="720"/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40"/>
        <w:tblOverlap w:val="never"/>
        <w:tblW w:w="8835" w:type="dxa"/>
        <w:tblLook w:val="0000" w:firstRow="0" w:lastRow="0" w:firstColumn="0" w:lastColumn="0" w:noHBand="0" w:noVBand="0"/>
      </w:tblPr>
      <w:tblGrid>
        <w:gridCol w:w="5053"/>
        <w:gridCol w:w="1292"/>
        <w:gridCol w:w="2490"/>
      </w:tblGrid>
      <w:tr w:rsidR="001803C6" w14:paraId="31D5EFED" w14:textId="77777777" w:rsidTr="004001C6">
        <w:trPr>
          <w:trHeight w:val="300"/>
        </w:trPr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BB2E12A" w14:textId="77777777" w:rsidR="001803C6" w:rsidRDefault="001803C6" w:rsidP="001803C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EAC">
              <w:rPr>
                <w:b/>
                <w:lang w:val="hr-HR"/>
              </w:rPr>
              <w:t>Struktura prihoda: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874F0B5" w14:textId="77777777" w:rsidR="001803C6" w:rsidRDefault="001803C6" w:rsidP="00180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14:paraId="494331AF" w14:textId="77777777" w:rsidR="001803C6" w:rsidRDefault="001803C6" w:rsidP="00180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03C6" w14:paraId="5326AB23" w14:textId="77777777" w:rsidTr="004001C6">
        <w:trPr>
          <w:trHeight w:val="255"/>
        </w:trPr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7621968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-Tekuće pomoći proračunskim korisnicima iz  </w:t>
            </w:r>
          </w:p>
          <w:p w14:paraId="0975A179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proračuna koji im nije nadležan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047A6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B89509E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(6361)</w:t>
            </w: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DE6A8C6" w14:textId="77777777" w:rsidR="001803C6" w:rsidRPr="00377D96" w:rsidRDefault="001803C6" w:rsidP="008A272A">
            <w:pPr>
              <w:jc w:val="center"/>
              <w:rPr>
                <w:sz w:val="20"/>
                <w:szCs w:val="20"/>
              </w:rPr>
            </w:pPr>
          </w:p>
          <w:p w14:paraId="64E57E2F" w14:textId="77777777" w:rsidR="001803C6" w:rsidRPr="00377D96" w:rsidRDefault="009C643C" w:rsidP="00CF50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896.796</w:t>
            </w:r>
            <w:r w:rsidR="00CF500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1803C6" w14:paraId="6B096F5E" w14:textId="77777777" w:rsidTr="004001C6">
        <w:trPr>
          <w:trHeight w:val="255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80444C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od kamata</w:t>
            </w:r>
          </w:p>
          <w:p w14:paraId="0CC8BE47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od zateznih kamata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52C8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(6413)</w:t>
            </w:r>
          </w:p>
          <w:p w14:paraId="67CC83D7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(6414)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BEAD05C" w14:textId="77777777" w:rsidR="001803C6" w:rsidRPr="00377D96" w:rsidRDefault="009C643C" w:rsidP="00180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5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6A48198F" w14:textId="77777777" w:rsidR="001803C6" w:rsidRPr="00377D96" w:rsidRDefault="009C643C" w:rsidP="00CF50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5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1803C6" w14:paraId="7DEBCCE7" w14:textId="77777777" w:rsidTr="004001C6">
        <w:trPr>
          <w:trHeight w:val="255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40262FB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Ostali prihodi-roditeljska uplata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1E82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(6526)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4B4D92" w14:textId="77777777" w:rsidR="001803C6" w:rsidRPr="00377D96" w:rsidRDefault="009C643C" w:rsidP="00CF50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F64DD6">
              <w:rPr>
                <w:sz w:val="20"/>
                <w:szCs w:val="20"/>
              </w:rPr>
              <w:t>.</w:t>
            </w:r>
            <w:r w:rsidR="00C35F12">
              <w:rPr>
                <w:sz w:val="20"/>
                <w:szCs w:val="20"/>
              </w:rPr>
              <w:t>130</w:t>
            </w:r>
            <w:r w:rsidR="00246E90">
              <w:rPr>
                <w:sz w:val="20"/>
                <w:szCs w:val="20"/>
              </w:rPr>
              <w:t>,</w:t>
            </w:r>
            <w:r w:rsidR="00C35F12">
              <w:rPr>
                <w:sz w:val="20"/>
                <w:szCs w:val="20"/>
              </w:rPr>
              <w:t>02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1803C6" w14:paraId="6D9AADA2" w14:textId="77777777" w:rsidTr="004001C6">
        <w:trPr>
          <w:trHeight w:val="255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A20A537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iz nadležnog proračuna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0D04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(6711)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C532AB9" w14:textId="77777777" w:rsidR="001803C6" w:rsidRPr="00377D96" w:rsidRDefault="009C643C" w:rsidP="0024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CF5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236</w:t>
            </w:r>
            <w:r w:rsidR="00CF5007">
              <w:rPr>
                <w:sz w:val="20"/>
                <w:szCs w:val="20"/>
              </w:rPr>
              <w:t>,00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 w:rsidR="00973BED">
              <w:rPr>
                <w:sz w:val="20"/>
                <w:szCs w:val="20"/>
              </w:rPr>
              <w:t>€</w:t>
            </w:r>
          </w:p>
        </w:tc>
      </w:tr>
      <w:tr w:rsidR="001803C6" w14:paraId="10798D68" w14:textId="77777777" w:rsidTr="004001C6">
        <w:trPr>
          <w:trHeight w:val="270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204030E" w14:textId="77777777" w:rsidR="001803C6" w:rsidRPr="004C0EAC" w:rsidRDefault="00CF5007" w:rsidP="001803C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Tekuće donacije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EF61CCE" w14:textId="77777777" w:rsidR="001803C6" w:rsidRPr="00B87ACE" w:rsidRDefault="00CF5007" w:rsidP="004001C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(66</w:t>
            </w:r>
            <w:r w:rsidR="001803C6" w:rsidRPr="00B87ACE">
              <w:rPr>
                <w:sz w:val="20"/>
                <w:szCs w:val="20"/>
                <w:lang w:val="hr-HR"/>
              </w:rPr>
              <w:t>31)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52BBFA2E" w14:textId="77777777" w:rsidR="001803C6" w:rsidRPr="00377D96" w:rsidRDefault="00CF5007" w:rsidP="00180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03C6" w:rsidRPr="00377D96">
              <w:rPr>
                <w:sz w:val="20"/>
                <w:szCs w:val="20"/>
              </w:rPr>
              <w:t xml:space="preserve">,00 </w:t>
            </w:r>
            <w:r w:rsidR="00973BED">
              <w:rPr>
                <w:sz w:val="20"/>
                <w:szCs w:val="20"/>
              </w:rPr>
              <w:t>€</w:t>
            </w:r>
          </w:p>
        </w:tc>
      </w:tr>
      <w:tr w:rsidR="001803C6" w14:paraId="7678B74F" w14:textId="77777777" w:rsidTr="004001C6">
        <w:trPr>
          <w:trHeight w:val="315"/>
        </w:trPr>
        <w:tc>
          <w:tcPr>
            <w:tcW w:w="5053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328854" w14:textId="77777777" w:rsidR="001803C6" w:rsidRPr="004001C6" w:rsidRDefault="001803C6" w:rsidP="001803C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00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</w:t>
            </w:r>
            <w:r w:rsidRPr="004001C6">
              <w:rPr>
                <w:b/>
                <w:i/>
                <w:sz w:val="20"/>
                <w:szCs w:val="20"/>
                <w:lang w:val="hr-HR"/>
              </w:rPr>
              <w:t>Ukupni prihodi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A4C52D" w14:textId="77777777" w:rsidR="001803C6" w:rsidRPr="004001C6" w:rsidRDefault="001803C6" w:rsidP="004001C6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72D0DD6" w14:textId="77777777" w:rsidR="001803C6" w:rsidRPr="004001C6" w:rsidRDefault="00CF5007" w:rsidP="00CF50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</w:t>
            </w:r>
            <w:r w:rsidR="00973BED">
              <w:rPr>
                <w:b/>
                <w:i/>
                <w:iCs/>
                <w:sz w:val="20"/>
                <w:szCs w:val="20"/>
              </w:rPr>
              <w:t>1.711.</w:t>
            </w:r>
            <w:r w:rsidR="00C35F12">
              <w:rPr>
                <w:b/>
                <w:i/>
                <w:iCs/>
                <w:sz w:val="20"/>
                <w:szCs w:val="20"/>
              </w:rPr>
              <w:t>162</w:t>
            </w:r>
            <w:r w:rsidR="00973BED">
              <w:rPr>
                <w:b/>
                <w:i/>
                <w:iCs/>
                <w:sz w:val="20"/>
                <w:szCs w:val="20"/>
              </w:rPr>
              <w:t>,</w:t>
            </w:r>
            <w:r w:rsidR="00C35F12">
              <w:rPr>
                <w:b/>
                <w:i/>
                <w:iCs/>
                <w:sz w:val="20"/>
                <w:szCs w:val="20"/>
              </w:rPr>
              <w:t>35</w:t>
            </w:r>
            <w:r w:rsidR="001803C6"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73BED">
              <w:rPr>
                <w:b/>
                <w:i/>
                <w:iCs/>
                <w:sz w:val="20"/>
                <w:szCs w:val="20"/>
              </w:rPr>
              <w:t>€</w:t>
            </w:r>
          </w:p>
        </w:tc>
      </w:tr>
      <w:tr w:rsidR="001803C6" w14:paraId="0A0D158F" w14:textId="77777777" w:rsidTr="004001C6">
        <w:trPr>
          <w:trHeight w:val="402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1D5979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- Kapitalne pomoći proračunskim korisnicima iz </w:t>
            </w:r>
          </w:p>
          <w:p w14:paraId="50FE2F87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proračuna koji im nije nadležan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2D34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(6362)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13CF198" w14:textId="77777777" w:rsidR="001803C6" w:rsidRPr="00377D96" w:rsidRDefault="009C643C" w:rsidP="009C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</w:t>
            </w:r>
            <w:r w:rsidR="00CF5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732</w:t>
            </w:r>
            <w:r w:rsidR="009F41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F5007">
              <w:rPr>
                <w:sz w:val="20"/>
                <w:szCs w:val="20"/>
              </w:rPr>
              <w:t>5</w:t>
            </w:r>
            <w:r w:rsidR="001803C6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1803C6" w14:paraId="7BF5267B" w14:textId="77777777" w:rsidTr="004001C6">
        <w:trPr>
          <w:trHeight w:val="270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300D169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iz nadležnog proračuna za nefinancijsku</w:t>
            </w:r>
          </w:p>
          <w:p w14:paraId="416E8768" w14:textId="77777777" w:rsidR="001803C6" w:rsidRPr="004C0EAC" w:rsidRDefault="001803C6" w:rsidP="001803C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Imovinu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84D6797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(6712)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8BD848" w14:textId="77777777" w:rsidR="001803C6" w:rsidRPr="005B3211" w:rsidRDefault="00973BED" w:rsidP="0024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03C6" w:rsidRPr="005B32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519</w:t>
            </w:r>
            <w:r w:rsidR="00CF5007">
              <w:rPr>
                <w:sz w:val="20"/>
                <w:szCs w:val="20"/>
              </w:rPr>
              <w:t>,</w:t>
            </w:r>
            <w:r w:rsidR="0006542E">
              <w:rPr>
                <w:sz w:val="20"/>
                <w:szCs w:val="20"/>
              </w:rPr>
              <w:t>0</w:t>
            </w:r>
            <w:r w:rsidR="00246E90">
              <w:rPr>
                <w:sz w:val="20"/>
                <w:szCs w:val="20"/>
              </w:rPr>
              <w:t>0</w:t>
            </w:r>
            <w:r w:rsidR="001803C6" w:rsidRPr="005B3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1803C6" w14:paraId="55965E52" w14:textId="77777777" w:rsidTr="004001C6">
        <w:trPr>
          <w:trHeight w:val="315"/>
        </w:trPr>
        <w:tc>
          <w:tcPr>
            <w:tcW w:w="5053" w:type="dxa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D24535" w14:textId="77777777" w:rsidR="001803C6" w:rsidRPr="004001C6" w:rsidRDefault="001803C6" w:rsidP="001803C6">
            <w:pPr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 xml:space="preserve">        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Ukupni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prihodi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nefinancijsku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imovinu</w:t>
            </w:r>
            <w:proofErr w:type="spellEnd"/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B5B3EE" w14:textId="77777777" w:rsidR="001803C6" w:rsidRPr="004001C6" w:rsidRDefault="001803C6" w:rsidP="004001C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C49BB6" w14:textId="77777777" w:rsidR="001803C6" w:rsidRPr="004001C6" w:rsidRDefault="00973BED" w:rsidP="00246E9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CF5007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251</w:t>
            </w:r>
            <w:r w:rsidR="00CF5007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8</w:t>
            </w:r>
            <w:r w:rsidR="00CF5007">
              <w:rPr>
                <w:b/>
                <w:iCs/>
                <w:sz w:val="20"/>
                <w:szCs w:val="20"/>
              </w:rPr>
              <w:t>5</w:t>
            </w:r>
            <w:r w:rsidR="001803C6" w:rsidRPr="004001C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€</w:t>
            </w:r>
          </w:p>
        </w:tc>
      </w:tr>
      <w:tr w:rsidR="001803C6" w:rsidRPr="005E7610" w14:paraId="186EB3CE" w14:textId="77777777" w:rsidTr="004001C6">
        <w:trPr>
          <w:trHeight w:val="300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AD5B64" w14:textId="77777777" w:rsidR="001803C6" w:rsidRPr="00377D96" w:rsidRDefault="001803C6" w:rsidP="001803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Ukupni prihodi 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7B883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C8E4160" w14:textId="77777777" w:rsidR="001803C6" w:rsidRPr="005B3211" w:rsidRDefault="0006542E" w:rsidP="000A6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EA9">
              <w:rPr>
                <w:sz w:val="20"/>
                <w:szCs w:val="20"/>
              </w:rPr>
              <w:t>.</w:t>
            </w:r>
            <w:r w:rsidR="00C35F12">
              <w:rPr>
                <w:sz w:val="20"/>
                <w:szCs w:val="20"/>
              </w:rPr>
              <w:t>715</w:t>
            </w:r>
            <w:r w:rsidR="000A6EA9">
              <w:rPr>
                <w:sz w:val="20"/>
                <w:szCs w:val="20"/>
              </w:rPr>
              <w:t>.</w:t>
            </w:r>
            <w:r w:rsidR="00C35F12">
              <w:rPr>
                <w:sz w:val="20"/>
                <w:szCs w:val="20"/>
              </w:rPr>
              <w:t>414</w:t>
            </w:r>
            <w:r w:rsidR="001803C6" w:rsidRPr="005B3211">
              <w:rPr>
                <w:sz w:val="20"/>
                <w:szCs w:val="20"/>
              </w:rPr>
              <w:t>,</w:t>
            </w:r>
            <w:r w:rsidR="00C35F12">
              <w:rPr>
                <w:sz w:val="20"/>
                <w:szCs w:val="20"/>
              </w:rPr>
              <w:t>20</w:t>
            </w:r>
            <w:r w:rsidR="001803C6" w:rsidRPr="005B3211">
              <w:rPr>
                <w:sz w:val="20"/>
                <w:szCs w:val="20"/>
              </w:rPr>
              <w:t xml:space="preserve"> </w:t>
            </w:r>
            <w:r w:rsidR="0042130A">
              <w:rPr>
                <w:sz w:val="20"/>
                <w:szCs w:val="20"/>
              </w:rPr>
              <w:t>€</w:t>
            </w:r>
          </w:p>
        </w:tc>
      </w:tr>
      <w:tr w:rsidR="001803C6" w14:paraId="4CE2FD63" w14:textId="77777777" w:rsidTr="004001C6">
        <w:trPr>
          <w:trHeight w:val="300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9F49497" w14:textId="77777777" w:rsidR="001803C6" w:rsidRPr="00377D96" w:rsidRDefault="001803C6" w:rsidP="001803C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6F54BE1" w14:textId="77777777" w:rsidR="001803C6" w:rsidRPr="00B87ACE" w:rsidRDefault="001803C6" w:rsidP="004001C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6CED92" w14:textId="77777777" w:rsidR="001803C6" w:rsidRPr="005B3211" w:rsidRDefault="001803C6" w:rsidP="001803C6">
            <w:pPr>
              <w:jc w:val="right"/>
              <w:rPr>
                <w:sz w:val="20"/>
                <w:szCs w:val="20"/>
              </w:rPr>
            </w:pPr>
          </w:p>
        </w:tc>
      </w:tr>
      <w:tr w:rsidR="001803C6" w14:paraId="08C13305" w14:textId="77777777" w:rsidTr="004001C6">
        <w:trPr>
          <w:trHeight w:val="722"/>
        </w:trPr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1FA8D7" w14:textId="77777777" w:rsidR="001803C6" w:rsidRPr="004001C6" w:rsidRDefault="001803C6" w:rsidP="00377D96">
            <w:pPr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>Sveukupni prihodi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9D0CD5" w14:textId="77777777" w:rsidR="001803C6" w:rsidRPr="004001C6" w:rsidRDefault="001803C6" w:rsidP="004001C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>(6)+(7)</w:t>
            </w: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22138" w14:textId="77777777" w:rsidR="001803C6" w:rsidRPr="004001C6" w:rsidRDefault="0006542E" w:rsidP="000A6EA9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 w:rsidR="000A6EA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C35F12">
              <w:rPr>
                <w:b/>
                <w:bCs/>
                <w:sz w:val="20"/>
                <w:szCs w:val="20"/>
                <w:u w:val="single"/>
              </w:rPr>
              <w:t>715</w:t>
            </w:r>
            <w:r w:rsidR="000A6EA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C35F12">
              <w:rPr>
                <w:b/>
                <w:bCs/>
                <w:sz w:val="20"/>
                <w:szCs w:val="20"/>
                <w:u w:val="single"/>
              </w:rPr>
              <w:t>414</w:t>
            </w:r>
            <w:r w:rsidR="004D5E1E">
              <w:rPr>
                <w:b/>
                <w:bCs/>
                <w:sz w:val="20"/>
                <w:szCs w:val="20"/>
                <w:u w:val="single"/>
              </w:rPr>
              <w:t>,</w:t>
            </w:r>
            <w:r w:rsidR="00C35F12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1803C6" w:rsidRPr="004001C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42130A">
              <w:rPr>
                <w:b/>
                <w:bCs/>
                <w:sz w:val="20"/>
                <w:szCs w:val="20"/>
                <w:u w:val="single"/>
              </w:rPr>
              <w:t>€</w:t>
            </w:r>
          </w:p>
        </w:tc>
      </w:tr>
    </w:tbl>
    <w:p w14:paraId="76CEF9D7" w14:textId="77777777" w:rsidR="00E937E4" w:rsidRDefault="00E937E4">
      <w:pPr>
        <w:jc w:val="both"/>
        <w:rPr>
          <w:rFonts w:ascii="Bookman Old Style" w:hAnsi="Bookman Old Style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8924" w:type="dxa"/>
        <w:jc w:val="center"/>
        <w:tblLook w:val="0000" w:firstRow="0" w:lastRow="0" w:firstColumn="0" w:lastColumn="0" w:noHBand="0" w:noVBand="0"/>
      </w:tblPr>
      <w:tblGrid>
        <w:gridCol w:w="5104"/>
        <w:gridCol w:w="1122"/>
        <w:gridCol w:w="2698"/>
      </w:tblGrid>
      <w:tr w:rsidR="00BA71D7" w14:paraId="5F2D38D8" w14:textId="77777777" w:rsidTr="00913009">
        <w:trPr>
          <w:trHeight w:val="283"/>
          <w:jc w:val="center"/>
        </w:trPr>
        <w:tc>
          <w:tcPr>
            <w:tcW w:w="5104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3A1B1" w14:textId="77777777" w:rsidR="00BA71D7" w:rsidRDefault="00BA71D7" w:rsidP="0040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EF56C" w14:textId="77777777" w:rsidR="00B453C1" w:rsidRDefault="00B453C1" w:rsidP="0040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9D5ED" w14:textId="77777777" w:rsidR="00B453C1" w:rsidRDefault="00B453C1" w:rsidP="0040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A696" w14:textId="77777777" w:rsidR="00BA71D7" w:rsidRDefault="00BA71D7" w:rsidP="0040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0A398E4" w14:textId="77777777" w:rsidR="00BA71D7" w:rsidRDefault="00BA71D7" w:rsidP="0040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D7" w14:paraId="2880BB7C" w14:textId="77777777" w:rsidTr="00913009">
        <w:trPr>
          <w:trHeight w:val="410"/>
          <w:jc w:val="center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4EAA463" w14:textId="77777777" w:rsidR="00BA71D7" w:rsidRDefault="00BA71D7" w:rsidP="004001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77D96">
              <w:rPr>
                <w:b/>
                <w:lang w:val="hr-HR"/>
              </w:rPr>
              <w:t>Struktura rashoda:</w:t>
            </w:r>
          </w:p>
        </w:tc>
        <w:tc>
          <w:tcPr>
            <w:tcW w:w="11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18B155B7" w14:textId="77777777" w:rsidR="00BA71D7" w:rsidRDefault="00BA71D7" w:rsidP="00400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6320899" w14:textId="77777777" w:rsidR="00BA71D7" w:rsidRDefault="00BA71D7" w:rsidP="004001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1D7" w14:paraId="66A52C18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DA55F15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Plaće za redovan rad</w:t>
            </w:r>
          </w:p>
        </w:tc>
        <w:tc>
          <w:tcPr>
            <w:tcW w:w="11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D9D10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(3111)</w:t>
            </w:r>
          </w:p>
        </w:tc>
        <w:tc>
          <w:tcPr>
            <w:tcW w:w="269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BF7981" w14:textId="77777777" w:rsidR="00BA71D7" w:rsidRPr="00377D96" w:rsidRDefault="00254C16" w:rsidP="006C4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1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102.572</w:t>
            </w:r>
            <w:r w:rsidR="00BA71D7" w:rsidRPr="00377D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BA71D7" w14:paraId="756219FA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9997393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Ostali rashodi za zaposlene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CCF5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(3121)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A0AA4D4" w14:textId="77777777" w:rsidR="00BA71D7" w:rsidRPr="00254C16" w:rsidRDefault="00254C16" w:rsidP="004D5E1E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="000C3C23">
              <w:rPr>
                <w:sz w:val="20"/>
                <w:szCs w:val="20"/>
              </w:rPr>
              <w:t>5</w:t>
            </w:r>
            <w:r w:rsidR="006C41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787</w:t>
            </w:r>
            <w:r w:rsidR="008C2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C2633">
              <w:rPr>
                <w:sz w:val="20"/>
                <w:szCs w:val="20"/>
              </w:rPr>
              <w:t>0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</w:tr>
      <w:tr w:rsidR="00BA71D7" w14:paraId="0CCB75C5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F8B782A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Doprinosi za zdravstveno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D646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(3132)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0620E4D" w14:textId="77777777" w:rsidR="00BA71D7" w:rsidRPr="00377D96" w:rsidRDefault="000C3C23" w:rsidP="006C4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C16">
              <w:rPr>
                <w:sz w:val="20"/>
                <w:szCs w:val="20"/>
              </w:rPr>
              <w:t>65</w:t>
            </w:r>
            <w:r w:rsidR="006C41A1">
              <w:rPr>
                <w:sz w:val="20"/>
                <w:szCs w:val="20"/>
              </w:rPr>
              <w:t>.</w:t>
            </w:r>
            <w:r w:rsidR="00254C16">
              <w:rPr>
                <w:sz w:val="20"/>
                <w:szCs w:val="20"/>
              </w:rPr>
              <w:t>030</w:t>
            </w:r>
            <w:r w:rsidR="006C41A1">
              <w:rPr>
                <w:sz w:val="20"/>
                <w:szCs w:val="20"/>
              </w:rPr>
              <w:t>,</w:t>
            </w:r>
            <w:r w:rsidR="00254C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 w:rsidR="00254C16">
              <w:rPr>
                <w:sz w:val="20"/>
                <w:szCs w:val="20"/>
              </w:rPr>
              <w:t>€</w:t>
            </w:r>
          </w:p>
        </w:tc>
      </w:tr>
      <w:tr w:rsidR="00BA71D7" w14:paraId="2C8AE375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471B937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Materijalni rashodi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6B17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(32)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1A831CB" w14:textId="77777777" w:rsidR="00BA71D7" w:rsidRPr="00377D96" w:rsidRDefault="00254C16" w:rsidP="00400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BA71D7" w:rsidRPr="00377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621</w:t>
            </w:r>
            <w:r w:rsidR="006C4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BA71D7" w14:paraId="761EB857" w14:textId="77777777" w:rsidTr="00913009">
        <w:trPr>
          <w:trHeight w:val="269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744C782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Financijski rashodi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4A6C0EC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(34)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C43F51A" w14:textId="77777777" w:rsidR="00BA71D7" w:rsidRPr="00377D96" w:rsidRDefault="00254C16" w:rsidP="006C4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41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841</w:t>
            </w:r>
            <w:r w:rsidR="006C4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BA71D7" w14:paraId="35D37C2F" w14:textId="77777777" w:rsidTr="00913009">
        <w:trPr>
          <w:trHeight w:val="311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92CFE7" w14:textId="77777777" w:rsidR="00BA71D7" w:rsidRPr="004001C6" w:rsidRDefault="00BA71D7" w:rsidP="004001C6">
            <w:pPr>
              <w:rPr>
                <w:b/>
                <w:i/>
                <w:sz w:val="20"/>
                <w:szCs w:val="20"/>
                <w:lang w:val="hr-HR"/>
              </w:rPr>
            </w:pPr>
            <w:r w:rsidRPr="004001C6">
              <w:rPr>
                <w:b/>
                <w:i/>
                <w:sz w:val="20"/>
                <w:szCs w:val="20"/>
                <w:lang w:val="hr-HR"/>
              </w:rPr>
              <w:t xml:space="preserve">          Ukupno rashodi poslovanja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3E92C9" w14:textId="77777777" w:rsidR="00BA71D7" w:rsidRPr="004001C6" w:rsidRDefault="00BA71D7" w:rsidP="004001C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1CF89" w14:textId="77777777" w:rsidR="00BA71D7" w:rsidRPr="004001C6" w:rsidRDefault="000C3C23" w:rsidP="006C41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6C41A1">
              <w:rPr>
                <w:b/>
                <w:i/>
                <w:sz w:val="20"/>
                <w:szCs w:val="20"/>
              </w:rPr>
              <w:t>.</w:t>
            </w:r>
            <w:r w:rsidR="00254C16">
              <w:rPr>
                <w:b/>
                <w:i/>
                <w:sz w:val="20"/>
                <w:szCs w:val="20"/>
              </w:rPr>
              <w:t>653</w:t>
            </w:r>
            <w:r w:rsidR="006C41A1">
              <w:rPr>
                <w:b/>
                <w:i/>
                <w:sz w:val="20"/>
                <w:szCs w:val="20"/>
              </w:rPr>
              <w:t>.</w:t>
            </w:r>
            <w:r w:rsidR="00254C16">
              <w:rPr>
                <w:b/>
                <w:i/>
                <w:sz w:val="20"/>
                <w:szCs w:val="20"/>
              </w:rPr>
              <w:t>853</w:t>
            </w:r>
            <w:r w:rsidR="006C41A1">
              <w:rPr>
                <w:b/>
                <w:i/>
                <w:sz w:val="20"/>
                <w:szCs w:val="20"/>
              </w:rPr>
              <w:t>,</w:t>
            </w:r>
            <w:r w:rsidR="00254C16">
              <w:rPr>
                <w:b/>
                <w:i/>
                <w:sz w:val="20"/>
                <w:szCs w:val="20"/>
              </w:rPr>
              <w:t>23</w:t>
            </w:r>
            <w:r w:rsidR="00BA71D7" w:rsidRPr="004001C6">
              <w:rPr>
                <w:b/>
                <w:i/>
                <w:sz w:val="20"/>
                <w:szCs w:val="20"/>
              </w:rPr>
              <w:t xml:space="preserve"> </w:t>
            </w:r>
            <w:r w:rsidR="00254C16">
              <w:rPr>
                <w:b/>
                <w:i/>
                <w:sz w:val="20"/>
                <w:szCs w:val="20"/>
              </w:rPr>
              <w:t>€</w:t>
            </w:r>
          </w:p>
        </w:tc>
      </w:tr>
      <w:tr w:rsidR="00BA71D7" w14:paraId="380D5204" w14:textId="77777777" w:rsidTr="00913009">
        <w:trPr>
          <w:trHeight w:val="401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FF783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 xml:space="preserve">- Rashodi za nabavu </w:t>
            </w:r>
            <w:proofErr w:type="spellStart"/>
            <w:r w:rsidRPr="00377D96">
              <w:rPr>
                <w:sz w:val="20"/>
                <w:szCs w:val="20"/>
                <w:lang w:val="hr-HR"/>
              </w:rPr>
              <w:t>neproizvedene</w:t>
            </w:r>
            <w:proofErr w:type="spellEnd"/>
            <w:r w:rsidRPr="00377D96">
              <w:rPr>
                <w:sz w:val="20"/>
                <w:szCs w:val="20"/>
                <w:lang w:val="hr-HR"/>
              </w:rPr>
              <w:t xml:space="preserve">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7074C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(41)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73FDCFC" w14:textId="77777777" w:rsidR="00BA71D7" w:rsidRPr="00377D96" w:rsidRDefault="00BA71D7" w:rsidP="004001C6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 xml:space="preserve">0,00 </w:t>
            </w:r>
            <w:r w:rsidR="00254C16">
              <w:rPr>
                <w:sz w:val="20"/>
                <w:szCs w:val="20"/>
              </w:rPr>
              <w:t>€</w:t>
            </w:r>
          </w:p>
        </w:tc>
      </w:tr>
      <w:tr w:rsidR="00BA71D7" w14:paraId="594057A6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2102C35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Rashodi za nabavu proizvedene dugotrajne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CD567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(42)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13BCD6" w14:textId="77777777" w:rsidR="00BA71D7" w:rsidRPr="00377D96" w:rsidRDefault="00254C16" w:rsidP="004315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4.251</w:t>
            </w:r>
            <w:r w:rsidR="004315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4315EE">
              <w:rPr>
                <w:sz w:val="20"/>
                <w:szCs w:val="20"/>
              </w:rPr>
              <w:t>5</w:t>
            </w:r>
            <w:r w:rsidR="00BA71D7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BA71D7" w14:paraId="1E26B446" w14:textId="77777777" w:rsidTr="00913009">
        <w:trPr>
          <w:trHeight w:val="269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46F6974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Rashodi za ulaganja u nefin. imovinu (građ.obj.)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12D3B12" w14:textId="77777777" w:rsidR="00BA71D7" w:rsidRPr="00377D96" w:rsidRDefault="00BA71D7" w:rsidP="004001C6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(45)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F3FD04C" w14:textId="77777777" w:rsidR="00BA71D7" w:rsidRPr="00377D96" w:rsidRDefault="00BA71D7" w:rsidP="004001C6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 xml:space="preserve">0,00 </w:t>
            </w:r>
            <w:r w:rsidR="00254C16">
              <w:rPr>
                <w:sz w:val="20"/>
                <w:szCs w:val="20"/>
              </w:rPr>
              <w:t>€</w:t>
            </w:r>
          </w:p>
        </w:tc>
      </w:tr>
      <w:tr w:rsidR="00BA71D7" w14:paraId="5770A29A" w14:textId="77777777" w:rsidTr="00913009">
        <w:trPr>
          <w:trHeight w:val="311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DEB1E7" w14:textId="77777777" w:rsidR="00BA71D7" w:rsidRPr="004001C6" w:rsidRDefault="00BA71D7" w:rsidP="004001C6">
            <w:pPr>
              <w:rPr>
                <w:b/>
                <w:i/>
                <w:sz w:val="20"/>
                <w:szCs w:val="20"/>
                <w:lang w:val="hr-HR"/>
              </w:rPr>
            </w:pPr>
            <w:r w:rsidRPr="004001C6">
              <w:rPr>
                <w:b/>
                <w:i/>
                <w:sz w:val="20"/>
                <w:szCs w:val="20"/>
                <w:lang w:val="hr-HR"/>
              </w:rPr>
              <w:t xml:space="preserve">          Rashodi za nefinancijsku imovinu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5BC7E7" w14:textId="77777777" w:rsidR="00BA71D7" w:rsidRPr="004001C6" w:rsidRDefault="00BA71D7" w:rsidP="004001C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>(4)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310D2B8" w14:textId="77777777" w:rsidR="00BA71D7" w:rsidRPr="004001C6" w:rsidRDefault="00254C16" w:rsidP="004315E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4315EE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251</w:t>
            </w:r>
            <w:r w:rsidR="004315E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</w:t>
            </w:r>
            <w:r w:rsidR="004315EE">
              <w:rPr>
                <w:b/>
                <w:i/>
                <w:sz w:val="20"/>
                <w:szCs w:val="20"/>
              </w:rPr>
              <w:t>5</w:t>
            </w:r>
            <w:r w:rsidR="00BA71D7" w:rsidRPr="004001C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€</w:t>
            </w:r>
          </w:p>
        </w:tc>
      </w:tr>
      <w:tr w:rsidR="00BA71D7" w14:paraId="01D865AF" w14:textId="77777777" w:rsidTr="00913009">
        <w:trPr>
          <w:trHeight w:val="401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ACBE9" w14:textId="77777777" w:rsidR="00BA71D7" w:rsidRPr="004001C6" w:rsidRDefault="00BA71D7" w:rsidP="004001C6">
            <w:pPr>
              <w:jc w:val="right"/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 xml:space="preserve"> Sveukupni rashodi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D5493" w14:textId="77777777" w:rsidR="00BA71D7" w:rsidRPr="004001C6" w:rsidRDefault="00BA71D7" w:rsidP="004001C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>(3)+(4)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728EAD" w14:textId="77777777" w:rsidR="00BA71D7" w:rsidRPr="004001C6" w:rsidRDefault="000C3C23" w:rsidP="009130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3009">
              <w:rPr>
                <w:b/>
                <w:sz w:val="20"/>
                <w:szCs w:val="20"/>
              </w:rPr>
              <w:t>.</w:t>
            </w:r>
            <w:r w:rsidR="00254C16">
              <w:rPr>
                <w:b/>
                <w:sz w:val="20"/>
                <w:szCs w:val="20"/>
              </w:rPr>
              <w:t>658</w:t>
            </w:r>
            <w:r w:rsidR="004315EE">
              <w:rPr>
                <w:b/>
                <w:sz w:val="20"/>
                <w:szCs w:val="20"/>
              </w:rPr>
              <w:t>.</w:t>
            </w:r>
            <w:r w:rsidR="00254C16">
              <w:rPr>
                <w:b/>
                <w:sz w:val="20"/>
                <w:szCs w:val="20"/>
              </w:rPr>
              <w:t>105</w:t>
            </w:r>
            <w:r w:rsidR="004315EE">
              <w:rPr>
                <w:b/>
                <w:sz w:val="20"/>
                <w:szCs w:val="20"/>
              </w:rPr>
              <w:t>,</w:t>
            </w:r>
            <w:r w:rsidR="00254C16">
              <w:rPr>
                <w:b/>
                <w:sz w:val="20"/>
                <w:szCs w:val="20"/>
              </w:rPr>
              <w:t>08</w:t>
            </w:r>
            <w:r w:rsidR="00BA71D7" w:rsidRPr="004001C6">
              <w:rPr>
                <w:b/>
                <w:sz w:val="20"/>
                <w:szCs w:val="20"/>
              </w:rPr>
              <w:t xml:space="preserve"> </w:t>
            </w:r>
            <w:r w:rsidR="00254C16">
              <w:rPr>
                <w:b/>
                <w:sz w:val="20"/>
                <w:szCs w:val="20"/>
              </w:rPr>
              <w:t>€</w:t>
            </w:r>
          </w:p>
        </w:tc>
      </w:tr>
      <w:tr w:rsidR="00BA71D7" w14:paraId="3F66872A" w14:textId="77777777" w:rsidTr="00913009">
        <w:trPr>
          <w:trHeight w:val="179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5C18E2A" w14:textId="77777777" w:rsidR="00BA71D7" w:rsidRPr="00377D96" w:rsidRDefault="00BA71D7" w:rsidP="004001C6">
            <w:pPr>
              <w:rPr>
                <w:b/>
                <w:lang w:val="hr-HR"/>
              </w:rPr>
            </w:pPr>
            <w:r w:rsidRPr="00377D96">
              <w:rPr>
                <w:b/>
                <w:lang w:val="hr-H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C5D0" w14:textId="77777777" w:rsidR="00BA71D7" w:rsidRPr="00B87ACE" w:rsidRDefault="00BA71D7" w:rsidP="004001C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6ECA444" w14:textId="77777777" w:rsidR="00BA71D7" w:rsidRPr="00377D96" w:rsidRDefault="00BA71D7" w:rsidP="004001C6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 </w:t>
            </w:r>
          </w:p>
        </w:tc>
      </w:tr>
      <w:tr w:rsidR="00414BFA" w14:paraId="37BF300D" w14:textId="77777777" w:rsidTr="00913009">
        <w:trPr>
          <w:trHeight w:val="254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B5C3484" w14:textId="77777777" w:rsidR="00414BFA" w:rsidRDefault="00414BFA" w:rsidP="004001C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991F" w14:textId="77777777" w:rsidR="00414BFA" w:rsidRPr="00B87ACE" w:rsidRDefault="00414BFA" w:rsidP="00400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A9A2D0D" w14:textId="77777777" w:rsidR="00414BFA" w:rsidRPr="00414BFA" w:rsidRDefault="00414BFA" w:rsidP="004001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71D7" w:rsidRPr="00935A68" w14:paraId="2574B0EC" w14:textId="77777777" w:rsidTr="00913009">
        <w:trPr>
          <w:trHeight w:val="80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CA344E1" w14:textId="77777777" w:rsidR="00BA71D7" w:rsidRPr="00377D96" w:rsidRDefault="00BA71D7" w:rsidP="004001C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9643A1" w14:textId="77777777" w:rsidR="00BA71D7" w:rsidRPr="00B87ACE" w:rsidRDefault="00BA71D7" w:rsidP="00400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5AD53CD" w14:textId="77777777" w:rsidR="00BA71D7" w:rsidRPr="00935A68" w:rsidRDefault="00BA71D7" w:rsidP="004001C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71D7" w14:paraId="5A24FE8B" w14:textId="77777777" w:rsidTr="00913009">
        <w:trPr>
          <w:trHeight w:val="35"/>
          <w:jc w:val="center"/>
        </w:trPr>
        <w:tc>
          <w:tcPr>
            <w:tcW w:w="510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08B41239" w14:textId="77777777" w:rsidR="0001254A" w:rsidRDefault="00913009" w:rsidP="004001C6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Višak prihoda</w:t>
            </w:r>
            <w:r w:rsidR="00341CE1">
              <w:rPr>
                <w:b/>
                <w:sz w:val="20"/>
                <w:szCs w:val="20"/>
                <w:lang w:val="hr-HR"/>
              </w:rPr>
              <w:t xml:space="preserve"> poslovanja</w:t>
            </w:r>
            <w:r>
              <w:rPr>
                <w:b/>
                <w:sz w:val="20"/>
                <w:szCs w:val="20"/>
                <w:lang w:val="hr-HR"/>
              </w:rPr>
              <w:t xml:space="preserve"> tekuće godine           (6) – (3+4)</w:t>
            </w:r>
          </w:p>
          <w:p w14:paraId="7F2BC8EE" w14:textId="77777777" w:rsidR="00BA71D7" w:rsidRPr="004001C6" w:rsidRDefault="00BA71D7" w:rsidP="004001C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4DC84374" w14:textId="77777777" w:rsidR="00BA71D7" w:rsidRPr="004001C6" w:rsidRDefault="00BA71D7" w:rsidP="004001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16D08FB0" w14:textId="77777777" w:rsidR="00BA71D7" w:rsidRPr="004001C6" w:rsidRDefault="00254C16" w:rsidP="00414B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9130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778</w:t>
            </w:r>
            <w:r w:rsidR="0091300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80</w:t>
            </w:r>
            <w:r w:rsidR="00BA71D7" w:rsidRPr="004001C6">
              <w:rPr>
                <w:b/>
                <w:sz w:val="20"/>
                <w:szCs w:val="20"/>
              </w:rPr>
              <w:t xml:space="preserve"> </w:t>
            </w:r>
            <w:r w:rsidR="006F6A40">
              <w:rPr>
                <w:b/>
                <w:sz w:val="20"/>
                <w:szCs w:val="20"/>
              </w:rPr>
              <w:t>€</w:t>
            </w:r>
          </w:p>
        </w:tc>
      </w:tr>
    </w:tbl>
    <w:p w14:paraId="58460FC2" w14:textId="77777777" w:rsidR="00E937E4" w:rsidRDefault="00E937E4">
      <w:pPr>
        <w:jc w:val="both"/>
        <w:rPr>
          <w:rFonts w:ascii="Bookman Old Style" w:hAnsi="Bookman Old Style"/>
          <w:lang w:val="hr-HR"/>
        </w:rPr>
      </w:pPr>
    </w:p>
    <w:p w14:paraId="12D76995" w14:textId="77777777" w:rsidR="00413442" w:rsidRDefault="00413442" w:rsidP="00994B6B">
      <w:pPr>
        <w:ind w:firstLine="720"/>
        <w:jc w:val="both"/>
        <w:rPr>
          <w:lang w:val="hr-HR"/>
        </w:rPr>
      </w:pPr>
    </w:p>
    <w:p w14:paraId="6CFA4661" w14:textId="77777777" w:rsidR="00413442" w:rsidRPr="005259AD" w:rsidRDefault="00413442" w:rsidP="00413442">
      <w:pPr>
        <w:pStyle w:val="Zaglavlje"/>
        <w:jc w:val="both"/>
        <w:rPr>
          <w:b/>
          <w:sz w:val="22"/>
          <w:szCs w:val="22"/>
          <w:lang w:val="hr-HR"/>
        </w:rPr>
      </w:pPr>
      <w:r w:rsidRPr="005259AD">
        <w:rPr>
          <w:b/>
          <w:sz w:val="22"/>
          <w:szCs w:val="22"/>
          <w:lang w:val="hr-HR"/>
        </w:rPr>
        <w:t xml:space="preserve">2. BILJEŠKE UZ OBRAZAC  PR-RAS </w:t>
      </w:r>
    </w:p>
    <w:p w14:paraId="586ADB7E" w14:textId="77777777" w:rsidR="00413442" w:rsidRPr="005259AD" w:rsidRDefault="00413442" w:rsidP="00413442">
      <w:pPr>
        <w:pStyle w:val="Zaglavlje"/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</w:p>
    <w:p w14:paraId="16734C1D" w14:textId="77777777" w:rsidR="00E203E9" w:rsidRPr="005259AD" w:rsidRDefault="00E203E9" w:rsidP="00E203E9">
      <w:pPr>
        <w:jc w:val="both"/>
        <w:rPr>
          <w:sz w:val="22"/>
          <w:szCs w:val="22"/>
          <w:lang w:val="hr-HR"/>
        </w:rPr>
      </w:pPr>
      <w:r w:rsidRPr="005259AD">
        <w:rPr>
          <w:sz w:val="22"/>
          <w:szCs w:val="22"/>
          <w:lang w:val="hr-HR"/>
        </w:rPr>
        <w:t>Obrazloženje po pojedinim stavkama u PR-RAS-u  ostvarenim u izvještajnom razdoblju tekuće godine donosimo u nastavku:</w:t>
      </w:r>
    </w:p>
    <w:p w14:paraId="603BB81E" w14:textId="77777777" w:rsidR="00E203E9" w:rsidRPr="005259AD" w:rsidRDefault="00E203E9" w:rsidP="00413442">
      <w:pPr>
        <w:pStyle w:val="Zaglavlje"/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</w:p>
    <w:p w14:paraId="6E1350F4" w14:textId="77777777" w:rsidR="00C33053" w:rsidRPr="005259AD" w:rsidRDefault="00C33053" w:rsidP="00413442">
      <w:pPr>
        <w:pStyle w:val="Zaglavlje"/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</w:p>
    <w:p w14:paraId="76159CB8" w14:textId="77777777" w:rsidR="00413442" w:rsidRPr="00FB741D" w:rsidRDefault="001673B3" w:rsidP="00413442">
      <w:pPr>
        <w:pStyle w:val="Odlomakpopisa"/>
        <w:ind w:left="0"/>
        <w:contextualSpacing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4F140D">
        <w:rPr>
          <w:b/>
          <w:sz w:val="22"/>
          <w:szCs w:val="22"/>
          <w:lang w:val="hr-HR"/>
        </w:rPr>
        <w:t xml:space="preserve"> 6</w:t>
      </w:r>
      <w:r w:rsidR="00413442" w:rsidRPr="00FB741D">
        <w:rPr>
          <w:b/>
          <w:sz w:val="22"/>
          <w:szCs w:val="22"/>
          <w:lang w:val="hr-HR"/>
        </w:rPr>
        <w:t xml:space="preserve"> Prihodi poslovanja</w:t>
      </w:r>
    </w:p>
    <w:p w14:paraId="362A3741" w14:textId="77777777" w:rsidR="00994B6B" w:rsidRPr="005259AD" w:rsidRDefault="00413442" w:rsidP="00413442">
      <w:pPr>
        <w:jc w:val="both"/>
        <w:rPr>
          <w:sz w:val="22"/>
          <w:szCs w:val="22"/>
          <w:lang w:val="hr-HR"/>
        </w:rPr>
      </w:pPr>
      <w:r w:rsidRPr="005259AD">
        <w:rPr>
          <w:sz w:val="22"/>
          <w:szCs w:val="22"/>
          <w:lang w:val="hr-HR"/>
        </w:rPr>
        <w:t xml:space="preserve">       </w:t>
      </w:r>
      <w:r w:rsidR="00994B6B" w:rsidRPr="005259AD">
        <w:rPr>
          <w:sz w:val="22"/>
          <w:szCs w:val="22"/>
          <w:lang w:val="hr-HR"/>
        </w:rPr>
        <w:t>Za period od 1.1.-30.6.202</w:t>
      </w:r>
      <w:r w:rsidR="00254C16">
        <w:rPr>
          <w:sz w:val="22"/>
          <w:szCs w:val="22"/>
          <w:lang w:val="hr-HR"/>
        </w:rPr>
        <w:t>3</w:t>
      </w:r>
      <w:r w:rsidR="00994B6B" w:rsidRPr="005259AD">
        <w:rPr>
          <w:sz w:val="22"/>
          <w:szCs w:val="22"/>
          <w:lang w:val="hr-HR"/>
        </w:rPr>
        <w:t xml:space="preserve">.g. na razini Ustanove ostvaren je prihod poslovanja u ukupnom iznosu </w:t>
      </w:r>
      <w:r w:rsidR="00B3757E">
        <w:rPr>
          <w:sz w:val="22"/>
          <w:szCs w:val="22"/>
          <w:lang w:val="hr-HR"/>
        </w:rPr>
        <w:t>1</w:t>
      </w:r>
      <w:r w:rsidR="00994B6B" w:rsidRPr="005259AD">
        <w:rPr>
          <w:sz w:val="22"/>
          <w:szCs w:val="22"/>
          <w:lang w:val="hr-HR"/>
        </w:rPr>
        <w:t>.</w:t>
      </w:r>
      <w:r w:rsidR="000246AE">
        <w:rPr>
          <w:sz w:val="22"/>
          <w:szCs w:val="22"/>
          <w:lang w:val="hr-HR"/>
        </w:rPr>
        <w:t>711</w:t>
      </w:r>
      <w:r w:rsidR="00994B6B" w:rsidRPr="005259AD">
        <w:rPr>
          <w:sz w:val="22"/>
          <w:szCs w:val="22"/>
          <w:lang w:val="hr-HR"/>
        </w:rPr>
        <w:t>.</w:t>
      </w:r>
      <w:r w:rsidR="000246AE">
        <w:rPr>
          <w:sz w:val="22"/>
          <w:szCs w:val="22"/>
          <w:lang w:val="hr-HR"/>
        </w:rPr>
        <w:t>162</w:t>
      </w:r>
      <w:r w:rsidR="00994B6B" w:rsidRPr="005259AD">
        <w:rPr>
          <w:sz w:val="22"/>
          <w:szCs w:val="22"/>
          <w:lang w:val="hr-HR"/>
        </w:rPr>
        <w:t>,</w:t>
      </w:r>
      <w:r w:rsidR="000246AE">
        <w:rPr>
          <w:sz w:val="22"/>
          <w:szCs w:val="22"/>
          <w:lang w:val="hr-HR"/>
        </w:rPr>
        <w:t>35</w:t>
      </w:r>
      <w:r w:rsidR="00994B6B" w:rsidRPr="005259AD">
        <w:rPr>
          <w:sz w:val="22"/>
          <w:szCs w:val="22"/>
          <w:lang w:val="hr-HR"/>
        </w:rPr>
        <w:t xml:space="preserve"> </w:t>
      </w:r>
      <w:r w:rsidR="000246AE">
        <w:rPr>
          <w:sz w:val="22"/>
          <w:szCs w:val="22"/>
          <w:lang w:val="hr-HR"/>
        </w:rPr>
        <w:t>€</w:t>
      </w:r>
      <w:r w:rsidR="00994B6B" w:rsidRPr="005259AD">
        <w:rPr>
          <w:sz w:val="22"/>
          <w:szCs w:val="22"/>
          <w:lang w:val="hr-HR"/>
        </w:rPr>
        <w:t xml:space="preserve"> odn</w:t>
      </w:r>
      <w:r w:rsidR="00C33053" w:rsidRPr="005259AD">
        <w:rPr>
          <w:sz w:val="22"/>
          <w:szCs w:val="22"/>
          <w:lang w:val="hr-HR"/>
        </w:rPr>
        <w:t xml:space="preserve">osno povećanje od </w:t>
      </w:r>
      <w:r w:rsidR="005C578E">
        <w:rPr>
          <w:sz w:val="22"/>
          <w:szCs w:val="22"/>
          <w:lang w:val="hr-HR"/>
        </w:rPr>
        <w:t>12</w:t>
      </w:r>
      <w:r w:rsidR="00C33053" w:rsidRPr="005259AD">
        <w:rPr>
          <w:sz w:val="22"/>
          <w:szCs w:val="22"/>
          <w:lang w:val="hr-HR"/>
        </w:rPr>
        <w:t>,</w:t>
      </w:r>
      <w:r w:rsidR="005C578E">
        <w:rPr>
          <w:sz w:val="22"/>
          <w:szCs w:val="22"/>
          <w:lang w:val="hr-HR"/>
        </w:rPr>
        <w:t>4</w:t>
      </w:r>
      <w:r w:rsidR="00994B6B" w:rsidRPr="005259AD">
        <w:rPr>
          <w:sz w:val="22"/>
          <w:szCs w:val="22"/>
          <w:lang w:val="hr-HR"/>
        </w:rPr>
        <w:t>%  u odnosu na 202</w:t>
      </w:r>
      <w:r w:rsidR="000246AE">
        <w:rPr>
          <w:sz w:val="22"/>
          <w:szCs w:val="22"/>
          <w:lang w:val="hr-HR"/>
        </w:rPr>
        <w:t>2</w:t>
      </w:r>
      <w:r w:rsidR="0066394E" w:rsidRPr="005259AD">
        <w:rPr>
          <w:sz w:val="22"/>
          <w:szCs w:val="22"/>
          <w:lang w:val="hr-HR"/>
        </w:rPr>
        <w:t>.godinu</w:t>
      </w:r>
      <w:r w:rsidR="00994B6B" w:rsidRPr="005259AD">
        <w:rPr>
          <w:sz w:val="22"/>
          <w:szCs w:val="22"/>
          <w:lang w:val="hr-HR"/>
        </w:rPr>
        <w:t xml:space="preserve"> kada </w:t>
      </w:r>
      <w:r w:rsidR="00C33053" w:rsidRPr="005259AD">
        <w:rPr>
          <w:sz w:val="22"/>
          <w:szCs w:val="22"/>
          <w:lang w:val="hr-HR"/>
        </w:rPr>
        <w:t xml:space="preserve">su ukupni prihodi iznosili </w:t>
      </w:r>
      <w:r w:rsidR="00B3757E">
        <w:rPr>
          <w:sz w:val="22"/>
          <w:szCs w:val="22"/>
          <w:lang w:val="hr-HR"/>
        </w:rPr>
        <w:t>1</w:t>
      </w:r>
      <w:r w:rsidR="00C33053" w:rsidRPr="005259AD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525</w:t>
      </w:r>
      <w:r w:rsidR="00994B6B" w:rsidRPr="005259AD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775</w:t>
      </w:r>
      <w:r w:rsidR="00994B6B" w:rsidRPr="005259AD">
        <w:rPr>
          <w:sz w:val="22"/>
          <w:szCs w:val="22"/>
          <w:lang w:val="hr-HR"/>
        </w:rPr>
        <w:t>,</w:t>
      </w:r>
      <w:r w:rsidR="005C578E">
        <w:rPr>
          <w:sz w:val="22"/>
          <w:szCs w:val="22"/>
          <w:lang w:val="hr-HR"/>
        </w:rPr>
        <w:t>28</w:t>
      </w:r>
      <w:r w:rsidR="00994B6B" w:rsidRPr="005259AD">
        <w:rPr>
          <w:sz w:val="22"/>
          <w:szCs w:val="22"/>
          <w:lang w:val="hr-HR"/>
        </w:rPr>
        <w:t xml:space="preserve"> </w:t>
      </w:r>
      <w:r w:rsidR="005C578E">
        <w:rPr>
          <w:sz w:val="22"/>
          <w:szCs w:val="22"/>
          <w:lang w:val="hr-HR"/>
        </w:rPr>
        <w:t>€</w:t>
      </w:r>
      <w:r w:rsidR="00994B6B" w:rsidRPr="005259AD">
        <w:rPr>
          <w:sz w:val="22"/>
          <w:szCs w:val="22"/>
          <w:lang w:val="hr-HR"/>
        </w:rPr>
        <w:t xml:space="preserve"> te </w:t>
      </w:r>
      <w:r w:rsidR="005C578E">
        <w:rPr>
          <w:sz w:val="22"/>
          <w:szCs w:val="22"/>
          <w:lang w:val="hr-HR"/>
        </w:rPr>
        <w:t>45</w:t>
      </w:r>
      <w:r w:rsidR="00994B6B" w:rsidRPr="005259AD">
        <w:rPr>
          <w:sz w:val="22"/>
          <w:szCs w:val="22"/>
          <w:lang w:val="hr-HR"/>
        </w:rPr>
        <w:t xml:space="preserve">% u odnosu na planirani iznos od </w:t>
      </w:r>
      <w:r w:rsidR="003802ED">
        <w:rPr>
          <w:sz w:val="22"/>
          <w:szCs w:val="22"/>
          <w:lang w:val="hr-HR"/>
        </w:rPr>
        <w:t>3</w:t>
      </w:r>
      <w:r w:rsidR="00994B6B" w:rsidRPr="005259AD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789</w:t>
      </w:r>
      <w:r w:rsidR="00994B6B" w:rsidRPr="005259AD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5</w:t>
      </w:r>
      <w:r w:rsidR="00994B6B" w:rsidRPr="005259AD">
        <w:rPr>
          <w:sz w:val="22"/>
          <w:szCs w:val="22"/>
          <w:lang w:val="hr-HR"/>
        </w:rPr>
        <w:t xml:space="preserve">00,00 </w:t>
      </w:r>
      <w:r w:rsidR="005C578E">
        <w:rPr>
          <w:sz w:val="22"/>
          <w:szCs w:val="22"/>
          <w:lang w:val="hr-HR"/>
        </w:rPr>
        <w:t>€</w:t>
      </w:r>
      <w:r w:rsidR="00994B6B" w:rsidRPr="005259AD">
        <w:rPr>
          <w:sz w:val="22"/>
          <w:szCs w:val="22"/>
          <w:lang w:val="hr-HR"/>
        </w:rPr>
        <w:t xml:space="preserve"> iskazan u Financijskom planu za 202</w:t>
      </w:r>
      <w:r w:rsidR="005C578E">
        <w:rPr>
          <w:sz w:val="22"/>
          <w:szCs w:val="22"/>
          <w:lang w:val="hr-HR"/>
        </w:rPr>
        <w:t>3</w:t>
      </w:r>
      <w:r w:rsidR="0066394E" w:rsidRPr="005259AD">
        <w:rPr>
          <w:sz w:val="22"/>
          <w:szCs w:val="22"/>
          <w:lang w:val="hr-HR"/>
        </w:rPr>
        <w:t>.godinu.</w:t>
      </w:r>
      <w:r w:rsidR="00994B6B" w:rsidRPr="005259AD">
        <w:rPr>
          <w:sz w:val="22"/>
          <w:szCs w:val="22"/>
          <w:lang w:val="hr-HR"/>
        </w:rPr>
        <w:t xml:space="preserve">  </w:t>
      </w:r>
    </w:p>
    <w:p w14:paraId="0C968E8F" w14:textId="77777777" w:rsidR="0066394E" w:rsidRPr="005259AD" w:rsidRDefault="0066394E" w:rsidP="00994B6B">
      <w:pPr>
        <w:jc w:val="both"/>
        <w:rPr>
          <w:sz w:val="22"/>
          <w:szCs w:val="22"/>
          <w:lang w:val="hr-HR"/>
        </w:rPr>
      </w:pPr>
      <w:r w:rsidRPr="005259AD">
        <w:rPr>
          <w:sz w:val="22"/>
          <w:szCs w:val="22"/>
          <w:lang w:val="hr-HR"/>
        </w:rPr>
        <w:t>Razlog povećanja</w:t>
      </w:r>
      <w:r w:rsidR="00994B6B" w:rsidRPr="005259AD">
        <w:rPr>
          <w:sz w:val="22"/>
          <w:szCs w:val="22"/>
          <w:lang w:val="hr-HR"/>
        </w:rPr>
        <w:t xml:space="preserve"> ukupnih prihoda i rashoda</w:t>
      </w:r>
      <w:r w:rsidRPr="005259AD">
        <w:rPr>
          <w:sz w:val="22"/>
          <w:szCs w:val="22"/>
          <w:lang w:val="hr-HR"/>
        </w:rPr>
        <w:t xml:space="preserve"> u 202</w:t>
      </w:r>
      <w:r w:rsidR="005C578E">
        <w:rPr>
          <w:sz w:val="22"/>
          <w:szCs w:val="22"/>
          <w:lang w:val="hr-HR"/>
        </w:rPr>
        <w:t>3</w:t>
      </w:r>
      <w:r w:rsidRPr="005259AD">
        <w:rPr>
          <w:sz w:val="22"/>
          <w:szCs w:val="22"/>
          <w:lang w:val="hr-HR"/>
        </w:rPr>
        <w:t>. godini u odnosu na 202</w:t>
      </w:r>
      <w:r w:rsidR="005C578E">
        <w:rPr>
          <w:sz w:val="22"/>
          <w:szCs w:val="22"/>
          <w:lang w:val="hr-HR"/>
        </w:rPr>
        <w:t>2</w:t>
      </w:r>
      <w:r w:rsidRPr="005259AD">
        <w:rPr>
          <w:sz w:val="22"/>
          <w:szCs w:val="22"/>
          <w:lang w:val="hr-HR"/>
        </w:rPr>
        <w:t xml:space="preserve">. godinu </w:t>
      </w:r>
      <w:r w:rsidR="00994B6B" w:rsidRPr="005259AD">
        <w:rPr>
          <w:sz w:val="22"/>
          <w:szCs w:val="22"/>
          <w:lang w:val="hr-HR"/>
        </w:rPr>
        <w:t xml:space="preserve"> je</w:t>
      </w:r>
      <w:r w:rsidR="005C578E">
        <w:rPr>
          <w:sz w:val="22"/>
          <w:szCs w:val="22"/>
          <w:lang w:val="hr-HR"/>
        </w:rPr>
        <w:t xml:space="preserve"> povećanje osnovice za plaće radnika te povećanje  tržišnih cijena za nabavu roba i usluga za materijalne rashode </w:t>
      </w:r>
      <w:r w:rsidR="004F140D">
        <w:rPr>
          <w:sz w:val="22"/>
          <w:szCs w:val="22"/>
          <w:lang w:val="hr-HR"/>
        </w:rPr>
        <w:t>.</w:t>
      </w:r>
    </w:p>
    <w:p w14:paraId="06E7C48B" w14:textId="77777777" w:rsidR="00E24CDF" w:rsidRDefault="00E24CDF" w:rsidP="00EE1A75">
      <w:pPr>
        <w:pStyle w:val="Odlomakpopisa"/>
        <w:ind w:left="0"/>
        <w:contextualSpacing/>
        <w:jc w:val="both"/>
        <w:rPr>
          <w:b/>
          <w:sz w:val="22"/>
          <w:szCs w:val="22"/>
          <w:lang w:val="hr-HR"/>
        </w:rPr>
      </w:pPr>
    </w:p>
    <w:p w14:paraId="046BABA4" w14:textId="77777777" w:rsidR="001B6827" w:rsidRPr="005259AD" w:rsidRDefault="00CB02DE" w:rsidP="00EE1A75">
      <w:pPr>
        <w:pStyle w:val="Odlomakpopisa"/>
        <w:ind w:left="0"/>
        <w:contextualSpacing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1B6827" w:rsidRPr="005259AD">
        <w:rPr>
          <w:b/>
          <w:sz w:val="22"/>
          <w:szCs w:val="22"/>
          <w:lang w:val="hr-HR"/>
        </w:rPr>
        <w:t xml:space="preserve"> 63 Pomoći proračunskim korisnicima iz proračuna koji im nije nadležan</w:t>
      </w:r>
    </w:p>
    <w:p w14:paraId="31A46D53" w14:textId="77777777" w:rsidR="007B3A84" w:rsidRDefault="00F90453" w:rsidP="00F90453">
      <w:pPr>
        <w:jc w:val="both"/>
        <w:rPr>
          <w:sz w:val="22"/>
          <w:szCs w:val="22"/>
          <w:lang w:val="hr-HR"/>
        </w:rPr>
      </w:pPr>
      <w:r w:rsidRPr="005259AD">
        <w:rPr>
          <w:sz w:val="22"/>
          <w:szCs w:val="22"/>
          <w:lang w:val="hr-HR"/>
        </w:rPr>
        <w:t xml:space="preserve">U </w:t>
      </w:r>
      <w:r w:rsidR="005B3641" w:rsidRPr="005259AD">
        <w:rPr>
          <w:sz w:val="22"/>
          <w:szCs w:val="22"/>
          <w:lang w:val="hr-HR"/>
        </w:rPr>
        <w:t>izvještajnom razdoblju 202</w:t>
      </w:r>
      <w:r w:rsidR="005C578E">
        <w:rPr>
          <w:sz w:val="22"/>
          <w:szCs w:val="22"/>
          <w:lang w:val="hr-HR"/>
        </w:rPr>
        <w:t>3</w:t>
      </w:r>
      <w:r w:rsidR="005B3641" w:rsidRPr="005259AD">
        <w:rPr>
          <w:sz w:val="22"/>
          <w:szCs w:val="22"/>
          <w:lang w:val="hr-HR"/>
        </w:rPr>
        <w:t>. godine</w:t>
      </w:r>
      <w:r w:rsidR="001B6827" w:rsidRPr="005259AD">
        <w:rPr>
          <w:sz w:val="22"/>
          <w:szCs w:val="22"/>
          <w:lang w:val="hr-HR"/>
        </w:rPr>
        <w:t xml:space="preserve"> pomoći od nenadležnih proračuna</w:t>
      </w:r>
      <w:r w:rsidR="00CF3467" w:rsidRPr="005259AD">
        <w:rPr>
          <w:sz w:val="22"/>
          <w:szCs w:val="22"/>
          <w:lang w:val="hr-HR"/>
        </w:rPr>
        <w:t xml:space="preserve"> i</w:t>
      </w:r>
      <w:r w:rsidR="005B3641" w:rsidRPr="005259AD">
        <w:rPr>
          <w:sz w:val="22"/>
          <w:szCs w:val="22"/>
          <w:lang w:val="hr-HR"/>
        </w:rPr>
        <w:t xml:space="preserve">znose </w:t>
      </w:r>
      <w:r w:rsidR="005C578E">
        <w:rPr>
          <w:sz w:val="22"/>
          <w:szCs w:val="22"/>
          <w:lang w:val="hr-HR"/>
        </w:rPr>
        <w:t>898</w:t>
      </w:r>
      <w:r w:rsidR="00CB02DE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528</w:t>
      </w:r>
      <w:r w:rsidR="005B3641" w:rsidRPr="005259AD">
        <w:rPr>
          <w:sz w:val="22"/>
          <w:szCs w:val="22"/>
          <w:lang w:val="hr-HR"/>
        </w:rPr>
        <w:t>,</w:t>
      </w:r>
      <w:r w:rsidR="005C578E">
        <w:rPr>
          <w:sz w:val="22"/>
          <w:szCs w:val="22"/>
          <w:lang w:val="hr-HR"/>
        </w:rPr>
        <w:t>91</w:t>
      </w:r>
      <w:r w:rsidR="00CF3467" w:rsidRPr="005259AD">
        <w:rPr>
          <w:sz w:val="22"/>
          <w:szCs w:val="22"/>
          <w:lang w:val="hr-HR"/>
        </w:rPr>
        <w:t xml:space="preserve"> </w:t>
      </w:r>
      <w:r w:rsidR="005C578E">
        <w:rPr>
          <w:sz w:val="22"/>
          <w:szCs w:val="22"/>
          <w:lang w:val="hr-HR"/>
        </w:rPr>
        <w:t>€</w:t>
      </w:r>
      <w:r w:rsidR="00CF3467" w:rsidRPr="005259AD">
        <w:rPr>
          <w:sz w:val="22"/>
          <w:szCs w:val="22"/>
          <w:lang w:val="hr-HR"/>
        </w:rPr>
        <w:t xml:space="preserve"> </w:t>
      </w:r>
      <w:r w:rsidR="00E2692D" w:rsidRPr="005259AD">
        <w:rPr>
          <w:sz w:val="22"/>
          <w:szCs w:val="22"/>
          <w:lang w:val="hr-HR"/>
        </w:rPr>
        <w:t xml:space="preserve"> dok </w:t>
      </w:r>
      <w:r w:rsidR="005B3641" w:rsidRPr="005259AD">
        <w:rPr>
          <w:sz w:val="22"/>
          <w:szCs w:val="22"/>
          <w:lang w:val="hr-HR"/>
        </w:rPr>
        <w:t>su u 202</w:t>
      </w:r>
      <w:r w:rsidR="005C578E">
        <w:rPr>
          <w:sz w:val="22"/>
          <w:szCs w:val="22"/>
          <w:lang w:val="hr-HR"/>
        </w:rPr>
        <w:t>2</w:t>
      </w:r>
      <w:r w:rsidR="00E2692D" w:rsidRPr="005259AD">
        <w:rPr>
          <w:sz w:val="22"/>
          <w:szCs w:val="22"/>
          <w:lang w:val="hr-HR"/>
        </w:rPr>
        <w:t>. godin</w:t>
      </w:r>
      <w:r w:rsidR="005B3641" w:rsidRPr="005259AD">
        <w:rPr>
          <w:sz w:val="22"/>
          <w:szCs w:val="22"/>
          <w:lang w:val="hr-HR"/>
        </w:rPr>
        <w:t xml:space="preserve">i iznosili </w:t>
      </w:r>
      <w:r w:rsidR="005C578E">
        <w:rPr>
          <w:sz w:val="22"/>
          <w:szCs w:val="22"/>
          <w:lang w:val="hr-HR"/>
        </w:rPr>
        <w:t>809</w:t>
      </w:r>
      <w:r w:rsidR="005B3641" w:rsidRPr="005259AD">
        <w:rPr>
          <w:sz w:val="22"/>
          <w:szCs w:val="22"/>
          <w:lang w:val="hr-HR"/>
        </w:rPr>
        <w:t>.</w:t>
      </w:r>
      <w:r w:rsidR="005C578E">
        <w:rPr>
          <w:sz w:val="22"/>
          <w:szCs w:val="22"/>
          <w:lang w:val="hr-HR"/>
        </w:rPr>
        <w:t>958</w:t>
      </w:r>
      <w:r w:rsidR="005B3641" w:rsidRPr="005259AD">
        <w:rPr>
          <w:sz w:val="22"/>
          <w:szCs w:val="22"/>
          <w:lang w:val="hr-HR"/>
        </w:rPr>
        <w:t>,</w:t>
      </w:r>
      <w:r w:rsidR="005C578E">
        <w:rPr>
          <w:sz w:val="22"/>
          <w:szCs w:val="22"/>
          <w:lang w:val="hr-HR"/>
        </w:rPr>
        <w:t>69</w:t>
      </w:r>
      <w:r w:rsidR="005B3641" w:rsidRPr="005259AD">
        <w:rPr>
          <w:sz w:val="22"/>
          <w:szCs w:val="22"/>
          <w:lang w:val="hr-HR"/>
        </w:rPr>
        <w:t xml:space="preserve"> </w:t>
      </w:r>
      <w:r w:rsidR="005C578E">
        <w:rPr>
          <w:sz w:val="22"/>
          <w:szCs w:val="22"/>
          <w:lang w:val="hr-HR"/>
        </w:rPr>
        <w:t>€</w:t>
      </w:r>
      <w:r w:rsidR="005B3641" w:rsidRPr="005259AD">
        <w:rPr>
          <w:sz w:val="22"/>
          <w:szCs w:val="22"/>
          <w:lang w:val="hr-HR"/>
        </w:rPr>
        <w:t xml:space="preserve">, </w:t>
      </w:r>
      <w:r w:rsidR="006F6A40">
        <w:rPr>
          <w:sz w:val="22"/>
          <w:szCs w:val="22"/>
          <w:lang w:val="hr-HR"/>
        </w:rPr>
        <w:t xml:space="preserve">sredstva su </w:t>
      </w:r>
      <w:r w:rsidR="005B3641" w:rsidRPr="005259AD">
        <w:rPr>
          <w:sz w:val="22"/>
          <w:szCs w:val="22"/>
          <w:lang w:val="hr-HR"/>
        </w:rPr>
        <w:t xml:space="preserve">povećana </w:t>
      </w:r>
      <w:r w:rsidR="00E2692D" w:rsidRPr="005259AD">
        <w:rPr>
          <w:sz w:val="22"/>
          <w:szCs w:val="22"/>
          <w:lang w:val="hr-HR"/>
        </w:rPr>
        <w:t xml:space="preserve"> za </w:t>
      </w:r>
      <w:r w:rsidR="007B3A84">
        <w:rPr>
          <w:sz w:val="22"/>
          <w:szCs w:val="22"/>
          <w:lang w:val="hr-HR"/>
        </w:rPr>
        <w:t>88</w:t>
      </w:r>
      <w:r w:rsidR="005B3641" w:rsidRPr="005259AD">
        <w:rPr>
          <w:sz w:val="22"/>
          <w:szCs w:val="22"/>
          <w:lang w:val="hr-HR"/>
        </w:rPr>
        <w:t>.</w:t>
      </w:r>
      <w:r w:rsidR="007B3A84">
        <w:rPr>
          <w:sz w:val="22"/>
          <w:szCs w:val="22"/>
          <w:lang w:val="hr-HR"/>
        </w:rPr>
        <w:t>570</w:t>
      </w:r>
      <w:r w:rsidR="005B3641" w:rsidRPr="005259AD">
        <w:rPr>
          <w:sz w:val="22"/>
          <w:szCs w:val="22"/>
          <w:lang w:val="hr-HR"/>
        </w:rPr>
        <w:t>,</w:t>
      </w:r>
      <w:r w:rsidR="007B3A84">
        <w:rPr>
          <w:sz w:val="22"/>
          <w:szCs w:val="22"/>
          <w:lang w:val="hr-HR"/>
        </w:rPr>
        <w:t>22</w:t>
      </w:r>
      <w:r w:rsidR="005B3641" w:rsidRPr="005259AD">
        <w:rPr>
          <w:sz w:val="22"/>
          <w:szCs w:val="22"/>
          <w:lang w:val="hr-HR"/>
        </w:rPr>
        <w:t xml:space="preserve"> </w:t>
      </w:r>
      <w:r w:rsidR="007B3A84">
        <w:rPr>
          <w:sz w:val="22"/>
          <w:szCs w:val="22"/>
          <w:lang w:val="hr-HR"/>
        </w:rPr>
        <w:t>€</w:t>
      </w:r>
      <w:r w:rsidR="005B3641" w:rsidRPr="005259AD">
        <w:rPr>
          <w:sz w:val="22"/>
          <w:szCs w:val="22"/>
          <w:lang w:val="hr-HR"/>
        </w:rPr>
        <w:t xml:space="preserve"> ili </w:t>
      </w:r>
      <w:r w:rsidR="001673B3">
        <w:rPr>
          <w:sz w:val="22"/>
          <w:szCs w:val="22"/>
          <w:lang w:val="hr-HR"/>
        </w:rPr>
        <w:t>10,</w:t>
      </w:r>
      <w:r w:rsidR="005C578E">
        <w:rPr>
          <w:sz w:val="22"/>
          <w:szCs w:val="22"/>
          <w:lang w:val="hr-HR"/>
        </w:rPr>
        <w:t>9</w:t>
      </w:r>
      <w:r w:rsidR="001B6827" w:rsidRPr="005259AD">
        <w:rPr>
          <w:sz w:val="22"/>
          <w:szCs w:val="22"/>
          <w:lang w:val="hr-HR"/>
        </w:rPr>
        <w:t>%</w:t>
      </w:r>
      <w:r w:rsidRPr="005259AD">
        <w:rPr>
          <w:sz w:val="22"/>
          <w:szCs w:val="22"/>
          <w:lang w:val="hr-HR"/>
        </w:rPr>
        <w:t xml:space="preserve"> </w:t>
      </w:r>
      <w:r w:rsidR="00C33053" w:rsidRPr="005259AD">
        <w:rPr>
          <w:sz w:val="22"/>
          <w:szCs w:val="22"/>
          <w:lang w:val="hr-HR"/>
        </w:rPr>
        <w:t xml:space="preserve"> iz razloga što </w:t>
      </w:r>
      <w:r w:rsidR="00F71C9D" w:rsidRPr="005259AD">
        <w:rPr>
          <w:sz w:val="22"/>
          <w:szCs w:val="22"/>
          <w:lang w:val="hr-HR"/>
        </w:rPr>
        <w:t xml:space="preserve">su </w:t>
      </w:r>
      <w:r w:rsidR="00077762">
        <w:rPr>
          <w:sz w:val="22"/>
          <w:szCs w:val="22"/>
          <w:lang w:val="hr-HR"/>
        </w:rPr>
        <w:t>povećani rashodi za zaposlen</w:t>
      </w:r>
      <w:r w:rsidR="006F6A40">
        <w:rPr>
          <w:sz w:val="22"/>
          <w:szCs w:val="22"/>
          <w:lang w:val="hr-HR"/>
        </w:rPr>
        <w:t>e</w:t>
      </w:r>
      <w:r w:rsidR="007B3A84">
        <w:rPr>
          <w:sz w:val="22"/>
          <w:szCs w:val="22"/>
          <w:lang w:val="hr-HR"/>
        </w:rPr>
        <w:t xml:space="preserve"> kao i materijalni rashodi.</w:t>
      </w:r>
    </w:p>
    <w:p w14:paraId="0C02CC37" w14:textId="77777777" w:rsidR="005259AD" w:rsidRDefault="00C33053" w:rsidP="00F9045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14:paraId="62612342" w14:textId="77777777" w:rsidR="00672DF6" w:rsidRPr="00672DF6" w:rsidRDefault="002D2356" w:rsidP="00F90453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672DF6" w:rsidRPr="00672DF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64</w:t>
      </w:r>
      <w:r w:rsidR="00672DF6" w:rsidRPr="00672DF6">
        <w:rPr>
          <w:b/>
          <w:sz w:val="22"/>
          <w:szCs w:val="22"/>
          <w:lang w:val="hr-HR"/>
        </w:rPr>
        <w:t xml:space="preserve"> Prihodi od financijske imovine</w:t>
      </w:r>
    </w:p>
    <w:p w14:paraId="43928D8B" w14:textId="77777777" w:rsidR="00672DF6" w:rsidRDefault="00672DF6" w:rsidP="00EE1A75">
      <w:pPr>
        <w:pStyle w:val="Odlomakpopisa"/>
        <w:ind w:left="0"/>
        <w:contextualSpacing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Ovi prihodi </w:t>
      </w:r>
      <w:r w:rsidRPr="00672DF6">
        <w:rPr>
          <w:sz w:val="22"/>
          <w:szCs w:val="22"/>
          <w:lang w:val="hr-HR"/>
        </w:rPr>
        <w:t xml:space="preserve"> </w:t>
      </w:r>
      <w:r w:rsidR="00D401CB">
        <w:rPr>
          <w:sz w:val="22"/>
          <w:szCs w:val="22"/>
          <w:lang w:val="hr-HR"/>
        </w:rPr>
        <w:t xml:space="preserve">odnose se na prihode </w:t>
      </w:r>
      <w:r w:rsidR="00396865">
        <w:rPr>
          <w:sz w:val="22"/>
          <w:szCs w:val="22"/>
          <w:lang w:val="hr-HR"/>
        </w:rPr>
        <w:t xml:space="preserve">od zateznih kamata u iznosu </w:t>
      </w:r>
      <w:r w:rsidR="007B3A84">
        <w:rPr>
          <w:sz w:val="22"/>
          <w:szCs w:val="22"/>
          <w:lang w:val="hr-HR"/>
        </w:rPr>
        <w:t>0</w:t>
      </w:r>
      <w:r w:rsidR="00396865">
        <w:rPr>
          <w:sz w:val="22"/>
          <w:szCs w:val="22"/>
          <w:lang w:val="hr-HR"/>
        </w:rPr>
        <w:t>,</w:t>
      </w:r>
      <w:r w:rsidR="007B3A84">
        <w:rPr>
          <w:sz w:val="22"/>
          <w:szCs w:val="22"/>
          <w:lang w:val="hr-HR"/>
        </w:rPr>
        <w:t>27</w:t>
      </w:r>
      <w:r w:rsidR="00396865">
        <w:rPr>
          <w:sz w:val="22"/>
          <w:szCs w:val="22"/>
          <w:lang w:val="hr-HR"/>
        </w:rPr>
        <w:t xml:space="preserve"> </w:t>
      </w:r>
      <w:r w:rsidR="007B3A84">
        <w:rPr>
          <w:sz w:val="22"/>
          <w:szCs w:val="22"/>
          <w:lang w:val="hr-HR"/>
        </w:rPr>
        <w:t>€</w:t>
      </w:r>
      <w:r w:rsidR="00D401CB">
        <w:rPr>
          <w:sz w:val="22"/>
          <w:szCs w:val="22"/>
          <w:lang w:val="hr-HR"/>
        </w:rPr>
        <w:t xml:space="preserve"> </w:t>
      </w:r>
      <w:r w:rsidR="00646531">
        <w:rPr>
          <w:sz w:val="22"/>
          <w:szCs w:val="22"/>
          <w:lang w:val="hr-HR"/>
        </w:rPr>
        <w:t xml:space="preserve">što predstavlja </w:t>
      </w:r>
      <w:r w:rsidR="007B3A84">
        <w:rPr>
          <w:sz w:val="22"/>
          <w:szCs w:val="22"/>
          <w:lang w:val="hr-HR"/>
        </w:rPr>
        <w:t>smanje</w:t>
      </w:r>
      <w:r w:rsidR="00646531">
        <w:rPr>
          <w:sz w:val="22"/>
          <w:szCs w:val="22"/>
          <w:lang w:val="hr-HR"/>
        </w:rPr>
        <w:t>nje  u odnosu na 202</w:t>
      </w:r>
      <w:r w:rsidR="007B3A84">
        <w:rPr>
          <w:sz w:val="22"/>
          <w:szCs w:val="22"/>
          <w:lang w:val="hr-HR"/>
        </w:rPr>
        <w:t>2</w:t>
      </w:r>
      <w:r w:rsidRPr="00672DF6">
        <w:rPr>
          <w:sz w:val="22"/>
          <w:szCs w:val="22"/>
          <w:lang w:val="hr-HR"/>
        </w:rPr>
        <w:t>. godinu</w:t>
      </w:r>
      <w:r w:rsidR="00646531">
        <w:rPr>
          <w:sz w:val="22"/>
          <w:szCs w:val="22"/>
          <w:lang w:val="hr-HR"/>
        </w:rPr>
        <w:t xml:space="preserve"> kada je iznos bio </w:t>
      </w:r>
      <w:r w:rsidR="007B3A84">
        <w:rPr>
          <w:sz w:val="22"/>
          <w:szCs w:val="22"/>
          <w:lang w:val="hr-HR"/>
        </w:rPr>
        <w:t>32</w:t>
      </w:r>
      <w:r w:rsidR="00646531">
        <w:rPr>
          <w:sz w:val="22"/>
          <w:szCs w:val="22"/>
          <w:lang w:val="hr-HR"/>
        </w:rPr>
        <w:t>,</w:t>
      </w:r>
      <w:r w:rsidR="007B3A84">
        <w:rPr>
          <w:sz w:val="22"/>
          <w:szCs w:val="22"/>
          <w:lang w:val="hr-HR"/>
        </w:rPr>
        <w:t>83</w:t>
      </w:r>
      <w:r w:rsidR="00646531">
        <w:rPr>
          <w:sz w:val="22"/>
          <w:szCs w:val="22"/>
          <w:lang w:val="hr-HR"/>
        </w:rPr>
        <w:t xml:space="preserve"> </w:t>
      </w:r>
      <w:r w:rsidR="007B3A84">
        <w:rPr>
          <w:sz w:val="22"/>
          <w:szCs w:val="22"/>
          <w:lang w:val="hr-HR"/>
        </w:rPr>
        <w:t>€</w:t>
      </w:r>
      <w:r w:rsidR="005A3C13">
        <w:rPr>
          <w:sz w:val="22"/>
          <w:szCs w:val="22"/>
          <w:lang w:val="hr-HR"/>
        </w:rPr>
        <w:t xml:space="preserve">, </w:t>
      </w:r>
      <w:r w:rsidR="007B3A84">
        <w:rPr>
          <w:sz w:val="22"/>
          <w:szCs w:val="22"/>
          <w:lang w:val="hr-HR"/>
        </w:rPr>
        <w:t>prihod je ostvaren od</w:t>
      </w:r>
      <w:r w:rsidR="005A3C13">
        <w:rPr>
          <w:sz w:val="22"/>
          <w:szCs w:val="22"/>
          <w:lang w:val="hr-HR"/>
        </w:rPr>
        <w:t xml:space="preserve"> naplat</w:t>
      </w:r>
      <w:r w:rsidR="00A84577">
        <w:rPr>
          <w:sz w:val="22"/>
          <w:szCs w:val="22"/>
          <w:lang w:val="hr-HR"/>
        </w:rPr>
        <w:t>e</w:t>
      </w:r>
      <w:r w:rsidR="005A3C13">
        <w:rPr>
          <w:sz w:val="22"/>
          <w:szCs w:val="22"/>
          <w:lang w:val="hr-HR"/>
        </w:rPr>
        <w:t xml:space="preserve"> utuženog potraživanja uz koje su naplaćene i kamate.</w:t>
      </w:r>
    </w:p>
    <w:p w14:paraId="684CDCEB" w14:textId="77777777" w:rsidR="004F140D" w:rsidRDefault="004F140D" w:rsidP="00EE1A75">
      <w:pPr>
        <w:pStyle w:val="Odlomakpopisa"/>
        <w:ind w:left="0"/>
        <w:contextualSpacing/>
        <w:jc w:val="both"/>
        <w:rPr>
          <w:sz w:val="22"/>
          <w:szCs w:val="22"/>
          <w:lang w:val="hr-HR"/>
        </w:rPr>
      </w:pPr>
    </w:p>
    <w:p w14:paraId="67C411E3" w14:textId="77777777" w:rsidR="004F140D" w:rsidRPr="00672DF6" w:rsidRDefault="004F140D" w:rsidP="00EE1A75">
      <w:pPr>
        <w:pStyle w:val="Odlomakpopisa"/>
        <w:ind w:left="0"/>
        <w:contextualSpacing/>
        <w:jc w:val="both"/>
        <w:rPr>
          <w:sz w:val="22"/>
          <w:szCs w:val="22"/>
          <w:lang w:val="hr-HR"/>
        </w:rPr>
      </w:pPr>
    </w:p>
    <w:p w14:paraId="67EF2E98" w14:textId="77777777" w:rsidR="00672DF6" w:rsidRPr="00672DF6" w:rsidRDefault="00672DF6" w:rsidP="00EE1A75">
      <w:pPr>
        <w:jc w:val="both"/>
        <w:rPr>
          <w:rFonts w:ascii="Calibri" w:hAnsi="Calibri"/>
          <w:sz w:val="20"/>
          <w:szCs w:val="20"/>
        </w:rPr>
      </w:pPr>
    </w:p>
    <w:p w14:paraId="5DDB6418" w14:textId="77777777" w:rsidR="00672DF6" w:rsidRPr="00672DF6" w:rsidRDefault="00056E82" w:rsidP="00EE1A75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>Šifra</w:t>
      </w:r>
      <w:r w:rsidR="0067190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65</w:t>
      </w:r>
      <w:r w:rsidR="00672DF6">
        <w:rPr>
          <w:b/>
          <w:sz w:val="22"/>
          <w:szCs w:val="22"/>
          <w:lang w:val="hr-HR"/>
        </w:rPr>
        <w:t xml:space="preserve"> Prihodi po posebnim propisima</w:t>
      </w:r>
    </w:p>
    <w:p w14:paraId="449BD59E" w14:textId="77777777" w:rsidR="001B00AF" w:rsidRDefault="00672DF6" w:rsidP="001B00AF">
      <w:pPr>
        <w:jc w:val="both"/>
        <w:rPr>
          <w:sz w:val="22"/>
          <w:szCs w:val="22"/>
          <w:lang w:val="hr-HR"/>
        </w:rPr>
      </w:pPr>
      <w:r w:rsidRPr="00672DF6">
        <w:rPr>
          <w:sz w:val="22"/>
          <w:szCs w:val="22"/>
          <w:lang w:val="hr-HR"/>
        </w:rPr>
        <w:t>Prihodi po posebnim propisima odnose se</w:t>
      </w:r>
      <w:r w:rsidR="000943E0">
        <w:rPr>
          <w:sz w:val="22"/>
          <w:szCs w:val="22"/>
          <w:lang w:val="hr-HR"/>
        </w:rPr>
        <w:t xml:space="preserve"> na prihode od roditeljskih uplata</w:t>
      </w:r>
      <w:r>
        <w:rPr>
          <w:sz w:val="22"/>
          <w:szCs w:val="22"/>
          <w:lang w:val="hr-HR"/>
        </w:rPr>
        <w:t xml:space="preserve"> i </w:t>
      </w:r>
      <w:r w:rsidR="00671909">
        <w:rPr>
          <w:sz w:val="22"/>
          <w:szCs w:val="22"/>
          <w:lang w:val="hr-HR"/>
        </w:rPr>
        <w:t xml:space="preserve">iznose </w:t>
      </w:r>
      <w:r w:rsidR="00433E0D">
        <w:rPr>
          <w:sz w:val="22"/>
          <w:szCs w:val="22"/>
          <w:lang w:val="hr-HR"/>
        </w:rPr>
        <w:t>309</w:t>
      </w:r>
      <w:r w:rsidR="00671909">
        <w:rPr>
          <w:sz w:val="22"/>
          <w:szCs w:val="22"/>
          <w:lang w:val="hr-HR"/>
        </w:rPr>
        <w:t>.</w:t>
      </w:r>
      <w:r w:rsidR="00433E0D">
        <w:rPr>
          <w:sz w:val="22"/>
          <w:szCs w:val="22"/>
          <w:lang w:val="hr-HR"/>
        </w:rPr>
        <w:t>130</w:t>
      </w:r>
      <w:r w:rsidR="00671909">
        <w:rPr>
          <w:sz w:val="22"/>
          <w:szCs w:val="22"/>
          <w:lang w:val="hr-HR"/>
        </w:rPr>
        <w:t>,</w:t>
      </w:r>
      <w:r w:rsidR="00433E0D">
        <w:rPr>
          <w:sz w:val="22"/>
          <w:szCs w:val="22"/>
          <w:lang w:val="hr-HR"/>
        </w:rPr>
        <w:t>0</w:t>
      </w:r>
      <w:r w:rsidR="00056E82">
        <w:rPr>
          <w:sz w:val="22"/>
          <w:szCs w:val="22"/>
          <w:lang w:val="hr-HR"/>
        </w:rPr>
        <w:t>2</w:t>
      </w:r>
      <w:r w:rsidR="00671909">
        <w:rPr>
          <w:sz w:val="22"/>
          <w:szCs w:val="22"/>
          <w:lang w:val="hr-HR"/>
        </w:rPr>
        <w:t xml:space="preserve"> </w:t>
      </w:r>
      <w:r w:rsidR="00433E0D">
        <w:rPr>
          <w:sz w:val="22"/>
          <w:szCs w:val="22"/>
          <w:lang w:val="hr-HR"/>
        </w:rPr>
        <w:t>€</w:t>
      </w:r>
      <w:r w:rsidR="00671909">
        <w:rPr>
          <w:sz w:val="22"/>
          <w:szCs w:val="22"/>
          <w:lang w:val="hr-HR"/>
        </w:rPr>
        <w:t xml:space="preserve"> u odnosu na 202</w:t>
      </w:r>
      <w:r w:rsidR="00433E0D">
        <w:rPr>
          <w:sz w:val="22"/>
          <w:szCs w:val="22"/>
          <w:lang w:val="hr-HR"/>
        </w:rPr>
        <w:t>2</w:t>
      </w:r>
      <w:r w:rsidR="000943E0">
        <w:rPr>
          <w:sz w:val="22"/>
          <w:szCs w:val="22"/>
          <w:lang w:val="hr-HR"/>
        </w:rPr>
        <w:t xml:space="preserve">. godinu kad su prihodi </w:t>
      </w:r>
      <w:r w:rsidR="00841C4E">
        <w:rPr>
          <w:sz w:val="22"/>
          <w:szCs w:val="22"/>
          <w:lang w:val="hr-HR"/>
        </w:rPr>
        <w:t xml:space="preserve">po posebnim propisima </w:t>
      </w:r>
      <w:r w:rsidR="00671909">
        <w:rPr>
          <w:sz w:val="22"/>
          <w:szCs w:val="22"/>
          <w:lang w:val="hr-HR"/>
        </w:rPr>
        <w:t xml:space="preserve">iznosili </w:t>
      </w:r>
      <w:r w:rsidR="00547AC2">
        <w:rPr>
          <w:sz w:val="22"/>
          <w:szCs w:val="22"/>
          <w:lang w:val="hr-HR"/>
        </w:rPr>
        <w:t>2</w:t>
      </w:r>
      <w:r w:rsidR="00433E0D">
        <w:rPr>
          <w:sz w:val="22"/>
          <w:szCs w:val="22"/>
          <w:lang w:val="hr-HR"/>
        </w:rPr>
        <w:t>87</w:t>
      </w:r>
      <w:r w:rsidR="00547AC2">
        <w:rPr>
          <w:sz w:val="22"/>
          <w:szCs w:val="22"/>
          <w:lang w:val="hr-HR"/>
        </w:rPr>
        <w:t>.</w:t>
      </w:r>
      <w:r w:rsidR="00433E0D">
        <w:rPr>
          <w:sz w:val="22"/>
          <w:szCs w:val="22"/>
          <w:lang w:val="hr-HR"/>
        </w:rPr>
        <w:t>129</w:t>
      </w:r>
      <w:r w:rsidR="00547AC2">
        <w:rPr>
          <w:sz w:val="22"/>
          <w:szCs w:val="22"/>
          <w:lang w:val="hr-HR"/>
        </w:rPr>
        <w:t>,</w:t>
      </w:r>
      <w:r w:rsidR="00433E0D">
        <w:rPr>
          <w:sz w:val="22"/>
          <w:szCs w:val="22"/>
          <w:lang w:val="hr-HR"/>
        </w:rPr>
        <w:t>45</w:t>
      </w:r>
      <w:r w:rsidR="000943E0">
        <w:rPr>
          <w:sz w:val="22"/>
          <w:szCs w:val="22"/>
          <w:lang w:val="hr-HR"/>
        </w:rPr>
        <w:t xml:space="preserve"> </w:t>
      </w:r>
      <w:r w:rsidR="00433E0D">
        <w:rPr>
          <w:sz w:val="22"/>
          <w:szCs w:val="22"/>
          <w:lang w:val="hr-HR"/>
        </w:rPr>
        <w:t>€</w:t>
      </w:r>
      <w:r w:rsidR="000943E0">
        <w:rPr>
          <w:sz w:val="22"/>
          <w:szCs w:val="22"/>
          <w:lang w:val="hr-HR"/>
        </w:rPr>
        <w:t>,</w:t>
      </w:r>
      <w:r w:rsidR="00671909">
        <w:rPr>
          <w:sz w:val="22"/>
          <w:szCs w:val="22"/>
          <w:lang w:val="hr-HR"/>
        </w:rPr>
        <w:t xml:space="preserve"> </w:t>
      </w:r>
      <w:r w:rsidR="00433E0D">
        <w:rPr>
          <w:sz w:val="22"/>
          <w:szCs w:val="22"/>
          <w:lang w:val="hr-HR"/>
        </w:rPr>
        <w:t>poveća</w:t>
      </w:r>
      <w:r w:rsidR="005A3C13">
        <w:rPr>
          <w:sz w:val="22"/>
          <w:szCs w:val="22"/>
          <w:lang w:val="hr-HR"/>
        </w:rPr>
        <w:t>ni</w:t>
      </w:r>
      <w:r w:rsidR="00C32366">
        <w:rPr>
          <w:sz w:val="22"/>
          <w:szCs w:val="22"/>
          <w:lang w:val="hr-HR"/>
        </w:rPr>
        <w:t xml:space="preserve"> su u iznosu </w:t>
      </w:r>
      <w:r w:rsidR="00433E0D">
        <w:rPr>
          <w:sz w:val="22"/>
          <w:szCs w:val="22"/>
          <w:lang w:val="hr-HR"/>
        </w:rPr>
        <w:t>22</w:t>
      </w:r>
      <w:r w:rsidR="00056E82">
        <w:rPr>
          <w:sz w:val="22"/>
          <w:szCs w:val="22"/>
          <w:lang w:val="hr-HR"/>
        </w:rPr>
        <w:t>.</w:t>
      </w:r>
      <w:r w:rsidR="00433E0D">
        <w:rPr>
          <w:sz w:val="22"/>
          <w:szCs w:val="22"/>
          <w:lang w:val="hr-HR"/>
        </w:rPr>
        <w:t>000</w:t>
      </w:r>
      <w:r w:rsidR="00324680">
        <w:rPr>
          <w:sz w:val="22"/>
          <w:szCs w:val="22"/>
          <w:lang w:val="hr-HR"/>
        </w:rPr>
        <w:t>,</w:t>
      </w:r>
      <w:r w:rsidR="00433E0D">
        <w:rPr>
          <w:sz w:val="22"/>
          <w:szCs w:val="22"/>
          <w:lang w:val="hr-HR"/>
        </w:rPr>
        <w:t>57</w:t>
      </w:r>
      <w:r w:rsidR="000943E0">
        <w:rPr>
          <w:sz w:val="22"/>
          <w:szCs w:val="22"/>
          <w:lang w:val="hr-HR"/>
        </w:rPr>
        <w:t xml:space="preserve"> </w:t>
      </w:r>
      <w:r w:rsidR="00433E0D">
        <w:rPr>
          <w:sz w:val="22"/>
          <w:szCs w:val="22"/>
          <w:lang w:val="hr-HR"/>
        </w:rPr>
        <w:t>€</w:t>
      </w:r>
      <w:r w:rsidR="000943E0">
        <w:rPr>
          <w:sz w:val="22"/>
          <w:szCs w:val="22"/>
          <w:lang w:val="hr-HR"/>
        </w:rPr>
        <w:t xml:space="preserve"> ili </w:t>
      </w:r>
      <w:r w:rsidR="00433E0D">
        <w:rPr>
          <w:sz w:val="22"/>
          <w:szCs w:val="22"/>
          <w:lang w:val="hr-HR"/>
        </w:rPr>
        <w:t>7</w:t>
      </w:r>
      <w:r w:rsidR="00C32366">
        <w:rPr>
          <w:sz w:val="22"/>
          <w:szCs w:val="22"/>
          <w:lang w:val="hr-HR"/>
        </w:rPr>
        <w:t>,</w:t>
      </w:r>
      <w:r w:rsidR="00056E82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%, </w:t>
      </w:r>
      <w:r w:rsidR="00433E0D">
        <w:rPr>
          <w:sz w:val="22"/>
          <w:szCs w:val="22"/>
          <w:lang w:val="hr-HR"/>
        </w:rPr>
        <w:t>ovaj prihod ovisi o dinamici uplata</w:t>
      </w:r>
      <w:r w:rsidR="008D0D44">
        <w:rPr>
          <w:sz w:val="22"/>
          <w:szCs w:val="22"/>
          <w:lang w:val="hr-HR"/>
        </w:rPr>
        <w:t xml:space="preserve"> roditeljskih uplata na dan izvještaja te nešto </w:t>
      </w:r>
      <w:r w:rsidR="006E2CD3">
        <w:rPr>
          <w:sz w:val="22"/>
          <w:szCs w:val="22"/>
          <w:lang w:val="hr-HR"/>
        </w:rPr>
        <w:t>veći</w:t>
      </w:r>
      <w:r w:rsidR="008D0D44">
        <w:rPr>
          <w:sz w:val="22"/>
          <w:szCs w:val="22"/>
          <w:lang w:val="hr-HR"/>
        </w:rPr>
        <w:t xml:space="preserve"> broj upisane djece u Dječji vrtić u pedagoškoj 202</w:t>
      </w:r>
      <w:r w:rsidR="006E2CD3">
        <w:rPr>
          <w:sz w:val="22"/>
          <w:szCs w:val="22"/>
          <w:lang w:val="hr-HR"/>
        </w:rPr>
        <w:t>2</w:t>
      </w:r>
      <w:r w:rsidR="008D0D44">
        <w:rPr>
          <w:sz w:val="22"/>
          <w:szCs w:val="22"/>
          <w:lang w:val="hr-HR"/>
        </w:rPr>
        <w:t>/202</w:t>
      </w:r>
      <w:r w:rsidR="006E2CD3">
        <w:rPr>
          <w:sz w:val="22"/>
          <w:szCs w:val="22"/>
          <w:lang w:val="hr-HR"/>
        </w:rPr>
        <w:t>3</w:t>
      </w:r>
      <w:r w:rsidR="008D0D44">
        <w:rPr>
          <w:sz w:val="22"/>
          <w:szCs w:val="22"/>
          <w:lang w:val="hr-HR"/>
        </w:rPr>
        <w:t>.godini.</w:t>
      </w:r>
    </w:p>
    <w:p w14:paraId="295EF3A1" w14:textId="77777777" w:rsidR="00672DF6" w:rsidRDefault="00672DF6" w:rsidP="001B00AF">
      <w:pPr>
        <w:pStyle w:val="Zaglavlje"/>
        <w:jc w:val="both"/>
        <w:rPr>
          <w:sz w:val="22"/>
          <w:szCs w:val="22"/>
          <w:lang w:val="hr-HR"/>
        </w:rPr>
      </w:pPr>
    </w:p>
    <w:p w14:paraId="3AB52A2D" w14:textId="77777777" w:rsidR="00CF3467" w:rsidRPr="00672DF6" w:rsidRDefault="008979C4" w:rsidP="00EE1A75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>Šifra</w:t>
      </w:r>
      <w:r w:rsidR="004349B4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67</w:t>
      </w:r>
      <w:r w:rsidR="00CF3467">
        <w:rPr>
          <w:b/>
          <w:sz w:val="22"/>
          <w:szCs w:val="22"/>
          <w:lang w:val="hr-HR"/>
        </w:rPr>
        <w:t xml:space="preserve"> Prihodi iz nadležnog proračuna za financiranje rashoda poslovanja</w:t>
      </w:r>
    </w:p>
    <w:p w14:paraId="531FCD26" w14:textId="77777777" w:rsidR="00355702" w:rsidRDefault="00CF3467" w:rsidP="00EE1A75">
      <w:pPr>
        <w:pStyle w:val="Zaglavlje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Ovi p</w:t>
      </w:r>
      <w:r w:rsidRPr="00672DF6">
        <w:rPr>
          <w:sz w:val="22"/>
          <w:szCs w:val="22"/>
          <w:lang w:val="hr-HR"/>
        </w:rPr>
        <w:t xml:space="preserve">rihodi </w:t>
      </w:r>
      <w:r>
        <w:rPr>
          <w:sz w:val="22"/>
          <w:szCs w:val="22"/>
          <w:lang w:val="hr-HR"/>
        </w:rPr>
        <w:t xml:space="preserve">odnose se na  prihode </w:t>
      </w:r>
      <w:r w:rsidR="005E20BE">
        <w:rPr>
          <w:sz w:val="22"/>
          <w:szCs w:val="22"/>
          <w:lang w:val="hr-HR"/>
        </w:rPr>
        <w:t>iz</w:t>
      </w:r>
      <w:r>
        <w:rPr>
          <w:sz w:val="22"/>
          <w:szCs w:val="22"/>
          <w:lang w:val="hr-HR"/>
        </w:rPr>
        <w:t xml:space="preserve"> </w:t>
      </w:r>
      <w:r w:rsidR="005E20BE">
        <w:rPr>
          <w:sz w:val="22"/>
          <w:szCs w:val="22"/>
          <w:lang w:val="hr-HR"/>
        </w:rPr>
        <w:t>nadležnog proračuna</w:t>
      </w:r>
      <w:r w:rsidR="001F41E7">
        <w:rPr>
          <w:sz w:val="22"/>
          <w:szCs w:val="22"/>
          <w:lang w:val="hr-HR"/>
        </w:rPr>
        <w:t xml:space="preserve"> Grada Krka</w:t>
      </w:r>
      <w:r w:rsidR="005E20BE">
        <w:rPr>
          <w:sz w:val="22"/>
          <w:szCs w:val="22"/>
          <w:lang w:val="hr-HR"/>
        </w:rPr>
        <w:t xml:space="preserve"> za financiranje rashoda poslovanja u</w:t>
      </w:r>
      <w:r w:rsidR="00AE35BB">
        <w:rPr>
          <w:sz w:val="22"/>
          <w:szCs w:val="22"/>
          <w:lang w:val="hr-HR"/>
        </w:rPr>
        <w:t xml:space="preserve"> dječjem vrtiću Krk te</w:t>
      </w:r>
      <w:r w:rsidR="001B00AF">
        <w:rPr>
          <w:sz w:val="22"/>
          <w:szCs w:val="22"/>
          <w:lang w:val="hr-HR"/>
        </w:rPr>
        <w:t xml:space="preserve"> područ</w:t>
      </w:r>
      <w:r w:rsidR="00652B11">
        <w:rPr>
          <w:sz w:val="22"/>
          <w:szCs w:val="22"/>
          <w:lang w:val="hr-HR"/>
        </w:rPr>
        <w:t>nim</w:t>
      </w:r>
      <w:r w:rsidR="001B00AF">
        <w:rPr>
          <w:sz w:val="22"/>
          <w:szCs w:val="22"/>
          <w:lang w:val="hr-HR"/>
        </w:rPr>
        <w:t xml:space="preserve"> vrtić</w:t>
      </w:r>
      <w:r w:rsidR="00652B11">
        <w:rPr>
          <w:sz w:val="22"/>
          <w:szCs w:val="22"/>
          <w:lang w:val="hr-HR"/>
        </w:rPr>
        <w:t>ima</w:t>
      </w:r>
      <w:r w:rsidR="001B00AF">
        <w:rPr>
          <w:sz w:val="22"/>
          <w:szCs w:val="22"/>
          <w:lang w:val="hr-HR"/>
        </w:rPr>
        <w:t xml:space="preserve"> </w:t>
      </w:r>
      <w:r w:rsidR="00191F58">
        <w:rPr>
          <w:sz w:val="22"/>
          <w:szCs w:val="22"/>
          <w:lang w:val="hr-HR"/>
        </w:rPr>
        <w:t xml:space="preserve">Krk i </w:t>
      </w:r>
      <w:r w:rsidR="001B00AF">
        <w:rPr>
          <w:sz w:val="22"/>
          <w:szCs w:val="22"/>
          <w:lang w:val="hr-HR"/>
        </w:rPr>
        <w:t>Vrh u</w:t>
      </w:r>
      <w:r w:rsidR="005E20BE">
        <w:rPr>
          <w:sz w:val="22"/>
          <w:szCs w:val="22"/>
          <w:lang w:val="hr-HR"/>
        </w:rPr>
        <w:t xml:space="preserve"> iznosu</w:t>
      </w:r>
      <w:r w:rsidR="004349B4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507</w:t>
      </w:r>
      <w:r w:rsidR="004349B4">
        <w:rPr>
          <w:sz w:val="22"/>
          <w:szCs w:val="22"/>
          <w:lang w:val="hr-HR"/>
        </w:rPr>
        <w:t>.</w:t>
      </w:r>
      <w:r w:rsidR="00652B11">
        <w:rPr>
          <w:sz w:val="22"/>
          <w:szCs w:val="22"/>
          <w:lang w:val="hr-HR"/>
        </w:rPr>
        <w:t>755</w:t>
      </w:r>
      <w:r w:rsidR="004349B4">
        <w:rPr>
          <w:sz w:val="22"/>
          <w:szCs w:val="22"/>
          <w:lang w:val="hr-HR"/>
        </w:rPr>
        <w:t>,</w:t>
      </w:r>
      <w:r w:rsidR="008979C4">
        <w:rPr>
          <w:sz w:val="22"/>
          <w:szCs w:val="22"/>
          <w:lang w:val="hr-HR"/>
        </w:rPr>
        <w:t>0</w:t>
      </w:r>
      <w:r w:rsidR="004349B4">
        <w:rPr>
          <w:sz w:val="22"/>
          <w:szCs w:val="22"/>
          <w:lang w:val="hr-HR"/>
        </w:rPr>
        <w:t>0</w:t>
      </w:r>
      <w:r w:rsidR="001B00AF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€</w:t>
      </w:r>
      <w:r w:rsidR="001B00AF">
        <w:rPr>
          <w:sz w:val="22"/>
          <w:szCs w:val="22"/>
          <w:lang w:val="hr-HR"/>
        </w:rPr>
        <w:t xml:space="preserve"> </w:t>
      </w:r>
      <w:r w:rsidR="004349B4">
        <w:rPr>
          <w:sz w:val="22"/>
          <w:szCs w:val="22"/>
          <w:lang w:val="hr-HR"/>
        </w:rPr>
        <w:t>dok su u 202</w:t>
      </w:r>
      <w:r w:rsidR="00652B11">
        <w:rPr>
          <w:sz w:val="22"/>
          <w:szCs w:val="22"/>
          <w:lang w:val="hr-HR"/>
        </w:rPr>
        <w:t>2</w:t>
      </w:r>
      <w:r w:rsidR="004349B4">
        <w:rPr>
          <w:sz w:val="22"/>
          <w:szCs w:val="22"/>
          <w:lang w:val="hr-HR"/>
        </w:rPr>
        <w:t xml:space="preserve">. godini iznosili </w:t>
      </w:r>
      <w:r w:rsidR="00652B11">
        <w:rPr>
          <w:sz w:val="22"/>
          <w:szCs w:val="22"/>
          <w:lang w:val="hr-HR"/>
        </w:rPr>
        <w:t>428</w:t>
      </w:r>
      <w:r w:rsidR="004349B4">
        <w:rPr>
          <w:sz w:val="22"/>
          <w:szCs w:val="22"/>
          <w:lang w:val="hr-HR"/>
        </w:rPr>
        <w:t>.</w:t>
      </w:r>
      <w:r w:rsidR="00652B11">
        <w:rPr>
          <w:sz w:val="22"/>
          <w:szCs w:val="22"/>
          <w:lang w:val="hr-HR"/>
        </w:rPr>
        <w:t>653</w:t>
      </w:r>
      <w:r w:rsidR="004349B4">
        <w:rPr>
          <w:sz w:val="22"/>
          <w:szCs w:val="22"/>
          <w:lang w:val="hr-HR"/>
        </w:rPr>
        <w:t>,</w:t>
      </w:r>
      <w:r w:rsidR="008979C4">
        <w:rPr>
          <w:sz w:val="22"/>
          <w:szCs w:val="22"/>
          <w:lang w:val="hr-HR"/>
        </w:rPr>
        <w:t>5</w:t>
      </w:r>
      <w:r w:rsidR="00652B11">
        <w:rPr>
          <w:sz w:val="22"/>
          <w:szCs w:val="22"/>
          <w:lang w:val="hr-HR"/>
        </w:rPr>
        <w:t>3</w:t>
      </w:r>
      <w:r w:rsidR="004349B4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€</w:t>
      </w:r>
      <w:r w:rsidR="004349B4">
        <w:rPr>
          <w:sz w:val="22"/>
          <w:szCs w:val="22"/>
          <w:lang w:val="hr-HR"/>
        </w:rPr>
        <w:t xml:space="preserve">, povećanje iznosi </w:t>
      </w:r>
      <w:r w:rsidR="008979C4">
        <w:rPr>
          <w:sz w:val="22"/>
          <w:szCs w:val="22"/>
          <w:lang w:val="hr-HR"/>
        </w:rPr>
        <w:t>1</w:t>
      </w:r>
      <w:r w:rsidR="00652B11">
        <w:rPr>
          <w:sz w:val="22"/>
          <w:szCs w:val="22"/>
          <w:lang w:val="hr-HR"/>
        </w:rPr>
        <w:t>8</w:t>
      </w:r>
      <w:r w:rsidR="004349B4">
        <w:rPr>
          <w:sz w:val="22"/>
          <w:szCs w:val="22"/>
          <w:lang w:val="hr-HR"/>
        </w:rPr>
        <w:t>,5</w:t>
      </w:r>
      <w:r w:rsidR="001B00AF">
        <w:rPr>
          <w:sz w:val="22"/>
          <w:szCs w:val="22"/>
          <w:lang w:val="hr-HR"/>
        </w:rPr>
        <w:t>%. F</w:t>
      </w:r>
      <w:r w:rsidR="005E20BE">
        <w:rPr>
          <w:sz w:val="22"/>
          <w:szCs w:val="22"/>
          <w:lang w:val="hr-HR"/>
        </w:rPr>
        <w:t>inanciranje rashoda</w:t>
      </w:r>
      <w:r w:rsidR="00191F58">
        <w:rPr>
          <w:sz w:val="22"/>
          <w:szCs w:val="22"/>
          <w:lang w:val="hr-HR"/>
        </w:rPr>
        <w:t xml:space="preserve"> poslovanja</w:t>
      </w:r>
      <w:r w:rsidR="00F73C38">
        <w:rPr>
          <w:sz w:val="22"/>
          <w:szCs w:val="22"/>
          <w:lang w:val="hr-HR"/>
        </w:rPr>
        <w:t xml:space="preserve"> za redovnu djelatnost</w:t>
      </w:r>
      <w:r w:rsidR="00191F58">
        <w:rPr>
          <w:sz w:val="22"/>
          <w:szCs w:val="22"/>
          <w:lang w:val="hr-HR"/>
        </w:rPr>
        <w:t xml:space="preserve"> izno</w:t>
      </w:r>
      <w:r w:rsidR="004349B4">
        <w:rPr>
          <w:sz w:val="22"/>
          <w:szCs w:val="22"/>
          <w:lang w:val="hr-HR"/>
        </w:rPr>
        <w:t xml:space="preserve">si </w:t>
      </w:r>
      <w:r w:rsidR="00652B11">
        <w:rPr>
          <w:sz w:val="22"/>
          <w:szCs w:val="22"/>
          <w:lang w:val="hr-HR"/>
        </w:rPr>
        <w:t>505</w:t>
      </w:r>
      <w:r w:rsidR="004349B4">
        <w:rPr>
          <w:sz w:val="22"/>
          <w:szCs w:val="22"/>
          <w:lang w:val="hr-HR"/>
        </w:rPr>
        <w:t>.</w:t>
      </w:r>
      <w:r w:rsidR="00652B11">
        <w:rPr>
          <w:sz w:val="22"/>
          <w:szCs w:val="22"/>
          <w:lang w:val="hr-HR"/>
        </w:rPr>
        <w:t>236</w:t>
      </w:r>
      <w:r w:rsidR="00042C73">
        <w:rPr>
          <w:sz w:val="22"/>
          <w:szCs w:val="22"/>
          <w:lang w:val="hr-HR"/>
        </w:rPr>
        <w:t>,</w:t>
      </w:r>
      <w:r w:rsidR="004349B4">
        <w:rPr>
          <w:sz w:val="22"/>
          <w:szCs w:val="22"/>
          <w:lang w:val="hr-HR"/>
        </w:rPr>
        <w:t xml:space="preserve">00 </w:t>
      </w:r>
      <w:r w:rsidR="001B00AF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€</w:t>
      </w:r>
      <w:r w:rsidR="001B00AF">
        <w:rPr>
          <w:sz w:val="22"/>
          <w:szCs w:val="22"/>
          <w:lang w:val="hr-HR"/>
        </w:rPr>
        <w:t xml:space="preserve"> dok rashodi</w:t>
      </w:r>
      <w:r w:rsidR="005E20BE">
        <w:rPr>
          <w:sz w:val="22"/>
          <w:szCs w:val="22"/>
          <w:lang w:val="hr-HR"/>
        </w:rPr>
        <w:t xml:space="preserve"> z</w:t>
      </w:r>
      <w:r w:rsidR="001B00AF">
        <w:rPr>
          <w:sz w:val="22"/>
          <w:szCs w:val="22"/>
          <w:lang w:val="hr-HR"/>
        </w:rPr>
        <w:t xml:space="preserve">a nabavu </w:t>
      </w:r>
      <w:r w:rsidR="00191F58">
        <w:rPr>
          <w:sz w:val="22"/>
          <w:szCs w:val="22"/>
          <w:lang w:val="hr-HR"/>
        </w:rPr>
        <w:t>nefi</w:t>
      </w:r>
      <w:r w:rsidR="004349B4">
        <w:rPr>
          <w:sz w:val="22"/>
          <w:szCs w:val="22"/>
          <w:lang w:val="hr-HR"/>
        </w:rPr>
        <w:t xml:space="preserve">nancijske imovine  iznose </w:t>
      </w:r>
      <w:r w:rsidR="00652B11">
        <w:rPr>
          <w:sz w:val="22"/>
          <w:szCs w:val="22"/>
          <w:lang w:val="hr-HR"/>
        </w:rPr>
        <w:t>2</w:t>
      </w:r>
      <w:r w:rsidR="00042C73">
        <w:rPr>
          <w:sz w:val="22"/>
          <w:szCs w:val="22"/>
          <w:lang w:val="hr-HR"/>
        </w:rPr>
        <w:t>.</w:t>
      </w:r>
      <w:r w:rsidR="00652B11">
        <w:rPr>
          <w:sz w:val="22"/>
          <w:szCs w:val="22"/>
          <w:lang w:val="hr-HR"/>
        </w:rPr>
        <w:t>519</w:t>
      </w:r>
      <w:r w:rsidR="004349B4">
        <w:rPr>
          <w:sz w:val="22"/>
          <w:szCs w:val="22"/>
          <w:lang w:val="hr-HR"/>
        </w:rPr>
        <w:t>,</w:t>
      </w:r>
      <w:r w:rsidR="00042C73">
        <w:rPr>
          <w:sz w:val="22"/>
          <w:szCs w:val="22"/>
          <w:lang w:val="hr-HR"/>
        </w:rPr>
        <w:t>0</w:t>
      </w:r>
      <w:r w:rsidR="004349B4">
        <w:rPr>
          <w:sz w:val="22"/>
          <w:szCs w:val="22"/>
          <w:lang w:val="hr-HR"/>
        </w:rPr>
        <w:t>0</w:t>
      </w:r>
      <w:r w:rsidR="005E20BE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€</w:t>
      </w:r>
      <w:r w:rsidR="00327CC8">
        <w:rPr>
          <w:sz w:val="22"/>
          <w:szCs w:val="22"/>
          <w:lang w:val="hr-HR"/>
        </w:rPr>
        <w:t>, nabavljen je jedan klima uređaj</w:t>
      </w:r>
      <w:r w:rsidR="00652B11">
        <w:rPr>
          <w:sz w:val="22"/>
          <w:szCs w:val="22"/>
          <w:lang w:val="hr-HR"/>
        </w:rPr>
        <w:t xml:space="preserve"> za područni vrtić Vrh</w:t>
      </w:r>
      <w:r w:rsidR="00327CC8">
        <w:rPr>
          <w:sz w:val="22"/>
          <w:szCs w:val="22"/>
          <w:lang w:val="hr-HR"/>
        </w:rPr>
        <w:t>.</w:t>
      </w:r>
      <w:r w:rsidR="00191F58">
        <w:rPr>
          <w:sz w:val="22"/>
          <w:szCs w:val="22"/>
          <w:lang w:val="hr-HR"/>
        </w:rPr>
        <w:t xml:space="preserve"> Razlog povećanja</w:t>
      </w:r>
      <w:r w:rsidR="00A712D6">
        <w:rPr>
          <w:sz w:val="22"/>
          <w:szCs w:val="22"/>
          <w:lang w:val="hr-HR"/>
        </w:rPr>
        <w:t xml:space="preserve"> prihoda iz nadležnog proračuna</w:t>
      </w:r>
      <w:r w:rsidR="00841C4E">
        <w:rPr>
          <w:sz w:val="22"/>
          <w:szCs w:val="22"/>
          <w:lang w:val="hr-HR"/>
        </w:rPr>
        <w:t xml:space="preserve"> odnosi se na</w:t>
      </w:r>
      <w:r w:rsidR="00191F58">
        <w:rPr>
          <w:sz w:val="22"/>
          <w:szCs w:val="22"/>
          <w:lang w:val="hr-HR"/>
        </w:rPr>
        <w:t xml:space="preserve"> </w:t>
      </w:r>
      <w:r w:rsidR="00327CC8">
        <w:rPr>
          <w:sz w:val="22"/>
          <w:szCs w:val="22"/>
          <w:lang w:val="hr-HR"/>
        </w:rPr>
        <w:t>povećanje</w:t>
      </w:r>
      <w:r w:rsidR="00652B11">
        <w:rPr>
          <w:sz w:val="22"/>
          <w:szCs w:val="22"/>
          <w:lang w:val="hr-HR"/>
        </w:rPr>
        <w:t xml:space="preserve"> sredstava za </w:t>
      </w:r>
      <w:r w:rsidR="001B22FC">
        <w:rPr>
          <w:sz w:val="22"/>
          <w:szCs w:val="22"/>
          <w:lang w:val="hr-HR"/>
        </w:rPr>
        <w:t xml:space="preserve">financiranje </w:t>
      </w:r>
      <w:r w:rsidR="00652B11">
        <w:rPr>
          <w:sz w:val="22"/>
          <w:szCs w:val="22"/>
          <w:lang w:val="hr-HR"/>
        </w:rPr>
        <w:t>rashod</w:t>
      </w:r>
      <w:r w:rsidR="001B22FC">
        <w:rPr>
          <w:sz w:val="22"/>
          <w:szCs w:val="22"/>
          <w:lang w:val="hr-HR"/>
        </w:rPr>
        <w:t>a</w:t>
      </w:r>
      <w:r w:rsidR="00652B11">
        <w:rPr>
          <w:sz w:val="22"/>
          <w:szCs w:val="22"/>
          <w:lang w:val="hr-HR"/>
        </w:rPr>
        <w:t xml:space="preserve"> za zaposlene</w:t>
      </w:r>
      <w:r w:rsidR="001B22FC">
        <w:rPr>
          <w:sz w:val="22"/>
          <w:szCs w:val="22"/>
          <w:lang w:val="hr-HR"/>
        </w:rPr>
        <w:t>, povećanje</w:t>
      </w:r>
      <w:r w:rsidR="00327CC8">
        <w:rPr>
          <w:sz w:val="22"/>
          <w:szCs w:val="22"/>
          <w:lang w:val="hr-HR"/>
        </w:rPr>
        <w:t xml:space="preserve"> </w:t>
      </w:r>
      <w:r w:rsidR="00652B11">
        <w:rPr>
          <w:sz w:val="22"/>
          <w:szCs w:val="22"/>
          <w:lang w:val="hr-HR"/>
        </w:rPr>
        <w:t>cijena za materijal i sirovine</w:t>
      </w:r>
      <w:r w:rsidR="000218BB">
        <w:rPr>
          <w:sz w:val="22"/>
          <w:szCs w:val="22"/>
          <w:lang w:val="hr-HR"/>
        </w:rPr>
        <w:t>, usluge tekućeg i investicijskog održavanja</w:t>
      </w:r>
      <w:r w:rsidR="001B22FC">
        <w:rPr>
          <w:sz w:val="22"/>
          <w:szCs w:val="22"/>
          <w:lang w:val="hr-HR"/>
        </w:rPr>
        <w:t xml:space="preserve"> te ostalih usluga kao što je pranje i održavanje posteljine za dječje ležaljke.</w:t>
      </w:r>
    </w:p>
    <w:p w14:paraId="060E0B9E" w14:textId="77777777" w:rsidR="00355702" w:rsidRDefault="00355702" w:rsidP="00EE1A75">
      <w:pPr>
        <w:pStyle w:val="Zaglavlje"/>
        <w:jc w:val="both"/>
        <w:rPr>
          <w:sz w:val="22"/>
          <w:szCs w:val="22"/>
          <w:lang w:val="hr-HR"/>
        </w:rPr>
      </w:pPr>
    </w:p>
    <w:p w14:paraId="63E05396" w14:textId="77777777" w:rsidR="00F41EF9" w:rsidRPr="00F41EF9" w:rsidRDefault="00355702" w:rsidP="00EE1A75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3</w:t>
      </w:r>
      <w:r w:rsidR="00F41EF9" w:rsidRPr="00F41EF9">
        <w:rPr>
          <w:b/>
          <w:sz w:val="22"/>
          <w:szCs w:val="22"/>
          <w:lang w:val="hr-HR"/>
        </w:rPr>
        <w:t xml:space="preserve"> Rashodi poslovanja</w:t>
      </w:r>
    </w:p>
    <w:p w14:paraId="2FF37B42" w14:textId="77777777" w:rsidR="00355702" w:rsidRDefault="00F41EF9" w:rsidP="00355702">
      <w:pPr>
        <w:pStyle w:val="Zaglavlje"/>
        <w:jc w:val="both"/>
        <w:rPr>
          <w:sz w:val="22"/>
          <w:szCs w:val="22"/>
          <w:lang w:val="hr-HR"/>
        </w:rPr>
      </w:pPr>
      <w:bookmarkStart w:id="0" w:name="OLE_LINK5"/>
      <w:bookmarkStart w:id="1" w:name="OLE_LINK6"/>
      <w:r w:rsidRPr="00F41EF9">
        <w:rPr>
          <w:sz w:val="22"/>
          <w:szCs w:val="22"/>
          <w:lang w:val="hr-HR"/>
        </w:rPr>
        <w:t xml:space="preserve">Ukupni rashodi poslovanja ostvareni su u iznosu od </w:t>
      </w:r>
      <w:bookmarkStart w:id="2" w:name="OLE_LINK46"/>
      <w:bookmarkStart w:id="3" w:name="OLE_LINK47"/>
      <w:bookmarkStart w:id="4" w:name="OLE_LINK48"/>
      <w:r w:rsidR="001B22FC">
        <w:rPr>
          <w:sz w:val="22"/>
          <w:szCs w:val="22"/>
          <w:lang w:val="hr-HR"/>
        </w:rPr>
        <w:t>1</w:t>
      </w:r>
      <w:r w:rsidR="00EF4443">
        <w:rPr>
          <w:sz w:val="22"/>
          <w:szCs w:val="22"/>
          <w:lang w:val="hr-HR"/>
        </w:rPr>
        <w:t>.</w:t>
      </w:r>
      <w:r w:rsidR="001B22FC">
        <w:rPr>
          <w:sz w:val="22"/>
          <w:szCs w:val="22"/>
          <w:lang w:val="hr-HR"/>
        </w:rPr>
        <w:t>653</w:t>
      </w:r>
      <w:r w:rsidR="00EF4443">
        <w:rPr>
          <w:sz w:val="22"/>
          <w:szCs w:val="22"/>
          <w:lang w:val="hr-HR"/>
        </w:rPr>
        <w:t>.</w:t>
      </w:r>
      <w:r w:rsidR="001B22FC">
        <w:rPr>
          <w:sz w:val="22"/>
          <w:szCs w:val="22"/>
          <w:lang w:val="hr-HR"/>
        </w:rPr>
        <w:t>853</w:t>
      </w:r>
      <w:r w:rsidR="00EF4443">
        <w:rPr>
          <w:sz w:val="22"/>
          <w:szCs w:val="22"/>
          <w:lang w:val="hr-HR"/>
        </w:rPr>
        <w:t>,</w:t>
      </w:r>
      <w:r w:rsidR="001B22FC">
        <w:rPr>
          <w:sz w:val="22"/>
          <w:szCs w:val="22"/>
          <w:lang w:val="hr-HR"/>
        </w:rPr>
        <w:t>23</w:t>
      </w:r>
      <w:r w:rsidRPr="00F41EF9">
        <w:rPr>
          <w:sz w:val="22"/>
          <w:szCs w:val="22"/>
          <w:lang w:val="hr-HR"/>
        </w:rPr>
        <w:t xml:space="preserve"> </w:t>
      </w:r>
      <w:bookmarkEnd w:id="2"/>
      <w:bookmarkEnd w:id="3"/>
      <w:bookmarkEnd w:id="4"/>
      <w:r w:rsidR="001B22FC">
        <w:rPr>
          <w:sz w:val="22"/>
          <w:szCs w:val="22"/>
          <w:lang w:val="hr-HR"/>
        </w:rPr>
        <w:t>€</w:t>
      </w:r>
      <w:r w:rsidR="00EF4443">
        <w:rPr>
          <w:sz w:val="22"/>
          <w:szCs w:val="22"/>
          <w:lang w:val="hr-HR"/>
        </w:rPr>
        <w:t>, dok su u 202</w:t>
      </w:r>
      <w:r w:rsidR="001B22FC">
        <w:rPr>
          <w:sz w:val="22"/>
          <w:szCs w:val="22"/>
          <w:lang w:val="hr-HR"/>
        </w:rPr>
        <w:t>2</w:t>
      </w:r>
      <w:r w:rsidRPr="00F41EF9">
        <w:rPr>
          <w:sz w:val="22"/>
          <w:szCs w:val="22"/>
          <w:lang w:val="hr-HR"/>
        </w:rPr>
        <w:t xml:space="preserve">. godini ostvareni u iznosu od </w:t>
      </w:r>
      <w:r w:rsidR="00EF4443">
        <w:rPr>
          <w:sz w:val="22"/>
          <w:szCs w:val="22"/>
          <w:lang w:val="hr-HR"/>
        </w:rPr>
        <w:t>1.4</w:t>
      </w:r>
      <w:r w:rsidR="001B22FC">
        <w:rPr>
          <w:sz w:val="22"/>
          <w:szCs w:val="22"/>
          <w:lang w:val="hr-HR"/>
        </w:rPr>
        <w:t>66</w:t>
      </w:r>
      <w:r w:rsidR="00EF4443">
        <w:rPr>
          <w:sz w:val="22"/>
          <w:szCs w:val="22"/>
          <w:lang w:val="hr-HR"/>
        </w:rPr>
        <w:t>.</w:t>
      </w:r>
      <w:r w:rsidR="001B22FC">
        <w:rPr>
          <w:sz w:val="22"/>
          <w:szCs w:val="22"/>
          <w:lang w:val="hr-HR"/>
        </w:rPr>
        <w:t>523</w:t>
      </w:r>
      <w:r w:rsidR="00EF4443">
        <w:rPr>
          <w:sz w:val="22"/>
          <w:szCs w:val="22"/>
          <w:lang w:val="hr-HR"/>
        </w:rPr>
        <w:t>,</w:t>
      </w:r>
      <w:r w:rsidR="001B22FC">
        <w:rPr>
          <w:sz w:val="22"/>
          <w:szCs w:val="22"/>
          <w:lang w:val="hr-HR"/>
        </w:rPr>
        <w:t>40</w:t>
      </w:r>
      <w:r w:rsidRPr="00F41EF9">
        <w:rPr>
          <w:sz w:val="22"/>
          <w:szCs w:val="22"/>
          <w:lang w:val="hr-HR"/>
        </w:rPr>
        <w:t xml:space="preserve"> </w:t>
      </w:r>
      <w:r w:rsidR="001B22FC">
        <w:rPr>
          <w:sz w:val="22"/>
          <w:szCs w:val="22"/>
          <w:lang w:val="hr-HR"/>
        </w:rPr>
        <w:t>€</w:t>
      </w:r>
      <w:r w:rsidRPr="00F41EF9">
        <w:rPr>
          <w:sz w:val="22"/>
          <w:szCs w:val="22"/>
          <w:lang w:val="hr-HR"/>
        </w:rPr>
        <w:t xml:space="preserve">, </w:t>
      </w:r>
      <w:r w:rsidR="0016593D">
        <w:rPr>
          <w:sz w:val="22"/>
          <w:szCs w:val="22"/>
          <w:lang w:val="hr-HR"/>
        </w:rPr>
        <w:t>št</w:t>
      </w:r>
      <w:r w:rsidR="00EF4443">
        <w:rPr>
          <w:sz w:val="22"/>
          <w:szCs w:val="22"/>
          <w:lang w:val="hr-HR"/>
        </w:rPr>
        <w:t xml:space="preserve">o predstavlja povećanje  od </w:t>
      </w:r>
      <w:r w:rsidR="001B22FC">
        <w:rPr>
          <w:sz w:val="22"/>
          <w:szCs w:val="22"/>
          <w:lang w:val="hr-HR"/>
        </w:rPr>
        <w:t>12,8</w:t>
      </w:r>
      <w:r w:rsidRPr="00F41EF9">
        <w:rPr>
          <w:sz w:val="22"/>
          <w:szCs w:val="22"/>
          <w:lang w:val="hr-HR"/>
        </w:rPr>
        <w:t>%</w:t>
      </w:r>
      <w:r w:rsidR="00B4494F">
        <w:rPr>
          <w:sz w:val="22"/>
          <w:szCs w:val="22"/>
          <w:lang w:val="hr-HR"/>
        </w:rPr>
        <w:t>. N</w:t>
      </w:r>
      <w:r w:rsidR="0016593D">
        <w:rPr>
          <w:sz w:val="22"/>
          <w:szCs w:val="22"/>
          <w:lang w:val="hr-HR"/>
        </w:rPr>
        <w:t xml:space="preserve">ajveće povećanje </w:t>
      </w:r>
      <w:r w:rsidR="00C41AE9">
        <w:rPr>
          <w:sz w:val="22"/>
          <w:szCs w:val="22"/>
          <w:lang w:val="hr-HR"/>
        </w:rPr>
        <w:t>odnosi se na rashode za zaposlene</w:t>
      </w:r>
      <w:r w:rsidR="009C42E7">
        <w:rPr>
          <w:sz w:val="22"/>
          <w:szCs w:val="22"/>
          <w:lang w:val="hr-HR"/>
        </w:rPr>
        <w:t>, materijal i si</w:t>
      </w:r>
      <w:r w:rsidR="00EF4443">
        <w:rPr>
          <w:sz w:val="22"/>
          <w:szCs w:val="22"/>
          <w:lang w:val="hr-HR"/>
        </w:rPr>
        <w:t>rovine te</w:t>
      </w:r>
      <w:r w:rsidR="00A712D6">
        <w:rPr>
          <w:sz w:val="22"/>
          <w:szCs w:val="22"/>
          <w:lang w:val="hr-HR"/>
        </w:rPr>
        <w:t xml:space="preserve"> materijal i dijelove za tekuće i investicijsko održavanje.</w:t>
      </w:r>
      <w:r w:rsidR="00355702" w:rsidRPr="00355702">
        <w:rPr>
          <w:sz w:val="22"/>
          <w:szCs w:val="22"/>
          <w:lang w:val="hr-HR"/>
        </w:rPr>
        <w:t xml:space="preserve"> </w:t>
      </w:r>
      <w:r w:rsidR="00355702">
        <w:rPr>
          <w:sz w:val="22"/>
          <w:szCs w:val="22"/>
          <w:lang w:val="hr-HR"/>
        </w:rPr>
        <w:t>Usluge tekućeg održavanja odnose se na redovne servise lifta, video nadzora,</w:t>
      </w:r>
      <w:r w:rsidR="00D06658">
        <w:rPr>
          <w:sz w:val="22"/>
          <w:szCs w:val="22"/>
          <w:lang w:val="hr-HR"/>
        </w:rPr>
        <w:t xml:space="preserve"> klima uređaja, kuhinjskih </w:t>
      </w:r>
      <w:proofErr w:type="spellStart"/>
      <w:r w:rsidR="00D06658">
        <w:rPr>
          <w:sz w:val="22"/>
          <w:szCs w:val="22"/>
          <w:lang w:val="hr-HR"/>
        </w:rPr>
        <w:t>napa</w:t>
      </w:r>
      <w:proofErr w:type="spellEnd"/>
      <w:r w:rsidR="00D06658">
        <w:rPr>
          <w:sz w:val="22"/>
          <w:szCs w:val="22"/>
          <w:lang w:val="hr-HR"/>
        </w:rPr>
        <w:t>,</w:t>
      </w:r>
      <w:r w:rsidR="00355702">
        <w:rPr>
          <w:sz w:val="22"/>
          <w:szCs w:val="22"/>
          <w:lang w:val="hr-HR"/>
        </w:rPr>
        <w:t xml:space="preserve"> održavanja opreme, popravka raznih uređaja kao što su perilica za suđe</w:t>
      </w:r>
      <w:r w:rsidR="001B22FC">
        <w:rPr>
          <w:sz w:val="22"/>
          <w:szCs w:val="22"/>
          <w:lang w:val="hr-HR"/>
        </w:rPr>
        <w:t>, perilica rublja,</w:t>
      </w:r>
      <w:r w:rsidR="00355702">
        <w:rPr>
          <w:sz w:val="22"/>
          <w:szCs w:val="22"/>
          <w:lang w:val="hr-HR"/>
        </w:rPr>
        <w:t xml:space="preserve"> </w:t>
      </w:r>
      <w:r w:rsidR="001B22FC">
        <w:rPr>
          <w:sz w:val="22"/>
          <w:szCs w:val="22"/>
          <w:lang w:val="hr-HR"/>
        </w:rPr>
        <w:t>rashladni uređaji</w:t>
      </w:r>
      <w:r w:rsidR="00355702">
        <w:rPr>
          <w:sz w:val="22"/>
          <w:szCs w:val="22"/>
          <w:lang w:val="hr-HR"/>
        </w:rPr>
        <w:t>,  i sl.</w:t>
      </w:r>
    </w:p>
    <w:p w14:paraId="2ACC5DAF" w14:textId="77777777" w:rsidR="00355702" w:rsidRDefault="00355702" w:rsidP="00355702">
      <w:pPr>
        <w:pStyle w:val="Zaglavlje"/>
        <w:jc w:val="both"/>
        <w:rPr>
          <w:sz w:val="22"/>
          <w:szCs w:val="22"/>
          <w:lang w:val="hr-HR"/>
        </w:rPr>
      </w:pPr>
    </w:p>
    <w:p w14:paraId="7D32B9B8" w14:textId="77777777" w:rsidR="00C33053" w:rsidRDefault="00C33053" w:rsidP="00EE1A75">
      <w:pPr>
        <w:jc w:val="both"/>
        <w:rPr>
          <w:sz w:val="22"/>
          <w:szCs w:val="22"/>
          <w:lang w:val="hr-HR"/>
        </w:rPr>
      </w:pPr>
    </w:p>
    <w:p w14:paraId="1E0BBC0F" w14:textId="77777777" w:rsidR="00F41EF9" w:rsidRDefault="00883FB4" w:rsidP="00EE1A75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F41EF9" w:rsidRPr="00EE1A7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3</w:t>
      </w:r>
      <w:r w:rsidR="00355702">
        <w:rPr>
          <w:b/>
          <w:sz w:val="22"/>
          <w:szCs w:val="22"/>
          <w:lang w:val="hr-HR"/>
        </w:rPr>
        <w:t>1</w:t>
      </w:r>
      <w:r w:rsidR="00F41EF9" w:rsidRPr="00EE1A75">
        <w:rPr>
          <w:b/>
          <w:sz w:val="22"/>
          <w:szCs w:val="22"/>
          <w:lang w:val="hr-HR"/>
        </w:rPr>
        <w:t xml:space="preserve"> </w:t>
      </w:r>
      <w:r w:rsidR="00185652">
        <w:rPr>
          <w:b/>
          <w:sz w:val="22"/>
          <w:szCs w:val="22"/>
          <w:lang w:val="hr-HR"/>
        </w:rPr>
        <w:t>R</w:t>
      </w:r>
      <w:r w:rsidR="00F41EF9" w:rsidRPr="00EE1A75">
        <w:rPr>
          <w:b/>
          <w:sz w:val="22"/>
          <w:szCs w:val="22"/>
          <w:lang w:val="hr-HR"/>
        </w:rPr>
        <w:t>ashodi za zaposlene</w:t>
      </w:r>
    </w:p>
    <w:p w14:paraId="433A5ACC" w14:textId="77777777" w:rsidR="008E608C" w:rsidRDefault="00256941" w:rsidP="009D6F2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Rashodi za zaposlene iznose</w:t>
      </w:r>
      <w:r w:rsidR="0016593D">
        <w:rPr>
          <w:sz w:val="22"/>
          <w:szCs w:val="22"/>
          <w:lang w:val="hr-HR"/>
        </w:rPr>
        <w:t xml:space="preserve"> </w:t>
      </w:r>
      <w:r w:rsidR="00D06658">
        <w:rPr>
          <w:sz w:val="22"/>
          <w:szCs w:val="22"/>
          <w:lang w:val="hr-HR"/>
        </w:rPr>
        <w:t>1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293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390</w:t>
      </w:r>
      <w:r w:rsidR="0016593D">
        <w:rPr>
          <w:sz w:val="22"/>
          <w:szCs w:val="22"/>
          <w:lang w:val="hr-HR"/>
        </w:rPr>
        <w:t>,</w:t>
      </w:r>
      <w:r w:rsidR="00D06658">
        <w:rPr>
          <w:sz w:val="22"/>
          <w:szCs w:val="22"/>
          <w:lang w:val="hr-HR"/>
        </w:rPr>
        <w:t>49</w:t>
      </w:r>
      <w:r w:rsidR="00D108E1">
        <w:rPr>
          <w:sz w:val="22"/>
          <w:szCs w:val="22"/>
          <w:lang w:val="hr-HR"/>
        </w:rPr>
        <w:t xml:space="preserve"> </w:t>
      </w:r>
      <w:r w:rsidR="00D06658">
        <w:rPr>
          <w:sz w:val="22"/>
          <w:szCs w:val="22"/>
          <w:lang w:val="hr-HR"/>
        </w:rPr>
        <w:t>€</w:t>
      </w:r>
      <w:r w:rsidR="00D108E1">
        <w:rPr>
          <w:sz w:val="22"/>
          <w:szCs w:val="22"/>
          <w:lang w:val="hr-HR"/>
        </w:rPr>
        <w:t xml:space="preserve"> što predst</w:t>
      </w:r>
      <w:r w:rsidR="0016593D">
        <w:rPr>
          <w:sz w:val="22"/>
          <w:szCs w:val="22"/>
          <w:lang w:val="hr-HR"/>
        </w:rPr>
        <w:t>avlja povećanje u odnosu na 202</w:t>
      </w:r>
      <w:r w:rsidR="00D06658">
        <w:rPr>
          <w:sz w:val="22"/>
          <w:szCs w:val="22"/>
          <w:lang w:val="hr-HR"/>
        </w:rPr>
        <w:t>2</w:t>
      </w:r>
      <w:r w:rsidR="0016593D">
        <w:rPr>
          <w:sz w:val="22"/>
          <w:szCs w:val="22"/>
          <w:lang w:val="hr-HR"/>
        </w:rPr>
        <w:t xml:space="preserve">. godinu </w:t>
      </w:r>
      <w:r w:rsidR="00D06658">
        <w:rPr>
          <w:sz w:val="22"/>
          <w:szCs w:val="22"/>
          <w:lang w:val="hr-HR"/>
        </w:rPr>
        <w:t>15</w:t>
      </w:r>
      <w:r w:rsidR="0016593D">
        <w:rPr>
          <w:sz w:val="22"/>
          <w:szCs w:val="22"/>
          <w:lang w:val="hr-HR"/>
        </w:rPr>
        <w:t>,</w:t>
      </w:r>
      <w:r w:rsidR="00D06658">
        <w:rPr>
          <w:sz w:val="22"/>
          <w:szCs w:val="22"/>
          <w:lang w:val="hr-HR"/>
        </w:rPr>
        <w:t>8</w:t>
      </w:r>
      <w:r w:rsidR="0016593D">
        <w:rPr>
          <w:sz w:val="22"/>
          <w:szCs w:val="22"/>
          <w:lang w:val="hr-HR"/>
        </w:rPr>
        <w:t xml:space="preserve">% kad su iznosili </w:t>
      </w:r>
      <w:r w:rsidR="00D06658">
        <w:rPr>
          <w:sz w:val="22"/>
          <w:szCs w:val="22"/>
          <w:lang w:val="hr-HR"/>
        </w:rPr>
        <w:t>1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117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092</w:t>
      </w:r>
      <w:r w:rsidR="0016593D">
        <w:rPr>
          <w:sz w:val="22"/>
          <w:szCs w:val="22"/>
          <w:lang w:val="hr-HR"/>
        </w:rPr>
        <w:t>,</w:t>
      </w:r>
      <w:r w:rsidR="00883FB4">
        <w:rPr>
          <w:sz w:val="22"/>
          <w:szCs w:val="22"/>
          <w:lang w:val="hr-HR"/>
        </w:rPr>
        <w:t>7</w:t>
      </w:r>
      <w:r w:rsidR="00D06658">
        <w:rPr>
          <w:sz w:val="22"/>
          <w:szCs w:val="22"/>
          <w:lang w:val="hr-HR"/>
        </w:rPr>
        <w:t>0</w:t>
      </w:r>
      <w:r w:rsidR="00FC6B97">
        <w:rPr>
          <w:sz w:val="22"/>
          <w:szCs w:val="22"/>
          <w:lang w:val="hr-HR"/>
        </w:rPr>
        <w:t xml:space="preserve"> </w:t>
      </w:r>
      <w:r w:rsidR="00D06658">
        <w:rPr>
          <w:sz w:val="22"/>
          <w:szCs w:val="22"/>
          <w:lang w:val="hr-HR"/>
        </w:rPr>
        <w:t>€</w:t>
      </w:r>
      <w:r w:rsidR="00FC6B97">
        <w:rPr>
          <w:sz w:val="22"/>
          <w:szCs w:val="22"/>
          <w:lang w:val="hr-HR"/>
        </w:rPr>
        <w:t>. Za br</w:t>
      </w:r>
      <w:r w:rsidR="0016593D">
        <w:rPr>
          <w:sz w:val="22"/>
          <w:szCs w:val="22"/>
          <w:lang w:val="hr-HR"/>
        </w:rPr>
        <w:t xml:space="preserve">uto plaće utrošeno je </w:t>
      </w:r>
      <w:r w:rsidR="00D06658">
        <w:rPr>
          <w:sz w:val="22"/>
          <w:szCs w:val="22"/>
          <w:lang w:val="hr-HR"/>
        </w:rPr>
        <w:t>1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102</w:t>
      </w:r>
      <w:r w:rsidR="0016593D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572</w:t>
      </w:r>
      <w:r w:rsidR="0016593D">
        <w:rPr>
          <w:sz w:val="22"/>
          <w:szCs w:val="22"/>
          <w:lang w:val="hr-HR"/>
        </w:rPr>
        <w:t>,</w:t>
      </w:r>
      <w:r w:rsidR="00D06658">
        <w:rPr>
          <w:sz w:val="22"/>
          <w:szCs w:val="22"/>
          <w:lang w:val="hr-HR"/>
        </w:rPr>
        <w:t>03</w:t>
      </w:r>
      <w:r w:rsidR="00FC6B97">
        <w:rPr>
          <w:sz w:val="22"/>
          <w:szCs w:val="22"/>
          <w:lang w:val="hr-HR"/>
        </w:rPr>
        <w:t xml:space="preserve"> </w:t>
      </w:r>
      <w:r w:rsidR="00D06658">
        <w:rPr>
          <w:sz w:val="22"/>
          <w:szCs w:val="22"/>
          <w:lang w:val="hr-HR"/>
        </w:rPr>
        <w:t>€</w:t>
      </w:r>
      <w:r w:rsidR="008E608C">
        <w:rPr>
          <w:sz w:val="22"/>
          <w:szCs w:val="22"/>
          <w:lang w:val="hr-HR"/>
        </w:rPr>
        <w:t>.</w:t>
      </w:r>
      <w:r w:rsidR="00355702">
        <w:rPr>
          <w:sz w:val="22"/>
          <w:szCs w:val="22"/>
          <w:lang w:val="hr-HR"/>
        </w:rPr>
        <w:t xml:space="preserve"> Prosječan broj zaposlenih na osnovu stanja na početku i na kraju izvještajnog razdoblja iznosi 15</w:t>
      </w:r>
      <w:r w:rsidR="00D06658">
        <w:rPr>
          <w:sz w:val="22"/>
          <w:szCs w:val="22"/>
          <w:lang w:val="hr-HR"/>
        </w:rPr>
        <w:t>5</w:t>
      </w:r>
      <w:r w:rsidR="00355702">
        <w:rPr>
          <w:sz w:val="22"/>
          <w:szCs w:val="22"/>
          <w:lang w:val="hr-HR"/>
        </w:rPr>
        <w:t xml:space="preserve"> radnika.</w:t>
      </w:r>
    </w:p>
    <w:p w14:paraId="30BA2BA9" w14:textId="77777777" w:rsidR="00BA3105" w:rsidRDefault="008E608C" w:rsidP="009D6F2C">
      <w:pPr>
        <w:jc w:val="both"/>
        <w:rPr>
          <w:lang w:val="hr-HR"/>
        </w:rPr>
      </w:pPr>
      <w:r>
        <w:rPr>
          <w:sz w:val="22"/>
          <w:szCs w:val="22"/>
          <w:lang w:val="hr-HR"/>
        </w:rPr>
        <w:t>O</w:t>
      </w:r>
      <w:r w:rsidR="003233C5">
        <w:rPr>
          <w:sz w:val="22"/>
          <w:szCs w:val="22"/>
          <w:lang w:val="hr-HR"/>
        </w:rPr>
        <w:t xml:space="preserve">stali rashodi za zaposlene </w:t>
      </w:r>
      <w:r>
        <w:rPr>
          <w:sz w:val="22"/>
          <w:szCs w:val="22"/>
          <w:lang w:val="hr-HR"/>
        </w:rPr>
        <w:t xml:space="preserve">odnosno materijalna prava radnika </w:t>
      </w:r>
      <w:r w:rsidR="003233C5">
        <w:rPr>
          <w:sz w:val="22"/>
          <w:szCs w:val="22"/>
          <w:lang w:val="hr-HR"/>
        </w:rPr>
        <w:t xml:space="preserve">iznose </w:t>
      </w:r>
      <w:r w:rsidR="00D06658">
        <w:rPr>
          <w:sz w:val="22"/>
          <w:szCs w:val="22"/>
          <w:lang w:val="hr-HR"/>
        </w:rPr>
        <w:t>25</w:t>
      </w:r>
      <w:r w:rsidR="003233C5">
        <w:rPr>
          <w:sz w:val="22"/>
          <w:szCs w:val="22"/>
          <w:lang w:val="hr-HR"/>
        </w:rPr>
        <w:t>.</w:t>
      </w:r>
      <w:r w:rsidR="00D06658">
        <w:rPr>
          <w:sz w:val="22"/>
          <w:szCs w:val="22"/>
          <w:lang w:val="hr-HR"/>
        </w:rPr>
        <w:t>787</w:t>
      </w:r>
      <w:r w:rsidR="003233C5">
        <w:rPr>
          <w:sz w:val="22"/>
          <w:szCs w:val="22"/>
          <w:lang w:val="hr-HR"/>
        </w:rPr>
        <w:t>,</w:t>
      </w:r>
      <w:r w:rsidR="00D06658">
        <w:rPr>
          <w:sz w:val="22"/>
          <w:szCs w:val="22"/>
          <w:lang w:val="hr-HR"/>
        </w:rPr>
        <w:t>7</w:t>
      </w:r>
      <w:r w:rsidR="003233C5">
        <w:rPr>
          <w:sz w:val="22"/>
          <w:szCs w:val="22"/>
          <w:lang w:val="hr-HR"/>
        </w:rPr>
        <w:t xml:space="preserve">0 </w:t>
      </w:r>
      <w:r w:rsidR="00D06658">
        <w:rPr>
          <w:sz w:val="22"/>
          <w:szCs w:val="22"/>
          <w:lang w:val="hr-HR"/>
        </w:rPr>
        <w:t>€</w:t>
      </w:r>
      <w:r w:rsidR="003233C5">
        <w:rPr>
          <w:sz w:val="22"/>
          <w:szCs w:val="22"/>
          <w:lang w:val="hr-HR"/>
        </w:rPr>
        <w:t xml:space="preserve"> a odnose se na isplatu jubilarnih nagrada</w:t>
      </w:r>
      <w:r w:rsidR="00AD368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ostvarenih </w:t>
      </w:r>
      <w:r w:rsidR="003F6753">
        <w:rPr>
          <w:sz w:val="22"/>
          <w:szCs w:val="22"/>
          <w:lang w:val="hr-HR"/>
        </w:rPr>
        <w:t>u izvještajnom razdoblju</w:t>
      </w:r>
      <w:r>
        <w:rPr>
          <w:sz w:val="22"/>
          <w:szCs w:val="22"/>
          <w:lang w:val="hr-HR"/>
        </w:rPr>
        <w:t xml:space="preserve"> </w:t>
      </w:r>
      <w:r w:rsidR="00AD3684">
        <w:rPr>
          <w:sz w:val="22"/>
          <w:szCs w:val="22"/>
          <w:lang w:val="hr-HR"/>
        </w:rPr>
        <w:t xml:space="preserve"> u iznosu </w:t>
      </w:r>
      <w:r w:rsidR="00B854E5">
        <w:rPr>
          <w:sz w:val="22"/>
          <w:szCs w:val="22"/>
          <w:lang w:val="hr-HR"/>
        </w:rPr>
        <w:t>3.251</w:t>
      </w:r>
      <w:r w:rsidR="00AD3684">
        <w:rPr>
          <w:sz w:val="22"/>
          <w:szCs w:val="22"/>
          <w:lang w:val="hr-HR"/>
        </w:rPr>
        <w:t>,</w:t>
      </w:r>
      <w:r w:rsidR="00B854E5">
        <w:rPr>
          <w:sz w:val="22"/>
          <w:szCs w:val="22"/>
          <w:lang w:val="hr-HR"/>
        </w:rPr>
        <w:t>76</w:t>
      </w:r>
      <w:r w:rsidR="00AD3684">
        <w:rPr>
          <w:sz w:val="22"/>
          <w:szCs w:val="22"/>
          <w:lang w:val="hr-HR"/>
        </w:rPr>
        <w:t xml:space="preserve"> </w:t>
      </w:r>
      <w:r w:rsidR="00B854E5">
        <w:rPr>
          <w:sz w:val="22"/>
          <w:szCs w:val="22"/>
          <w:lang w:val="hr-HR"/>
        </w:rPr>
        <w:t>€,</w:t>
      </w:r>
      <w:r w:rsidR="003F6753">
        <w:rPr>
          <w:sz w:val="22"/>
          <w:szCs w:val="22"/>
          <w:lang w:val="hr-HR"/>
        </w:rPr>
        <w:t xml:space="preserve"> </w:t>
      </w:r>
      <w:r w:rsidR="00B854E5">
        <w:rPr>
          <w:sz w:val="22"/>
          <w:szCs w:val="22"/>
          <w:lang w:val="hr-HR"/>
        </w:rPr>
        <w:t>d</w:t>
      </w:r>
      <w:r w:rsidR="00AD3684">
        <w:rPr>
          <w:sz w:val="22"/>
          <w:szCs w:val="22"/>
          <w:lang w:val="hr-HR"/>
        </w:rPr>
        <w:t>ar</w:t>
      </w:r>
      <w:r w:rsidR="00B854E5">
        <w:rPr>
          <w:sz w:val="22"/>
          <w:szCs w:val="22"/>
          <w:lang w:val="hr-HR"/>
        </w:rPr>
        <w:t>a</w:t>
      </w:r>
      <w:r w:rsidR="00AD3684">
        <w:rPr>
          <w:sz w:val="22"/>
          <w:szCs w:val="22"/>
          <w:lang w:val="hr-HR"/>
        </w:rPr>
        <w:t xml:space="preserve"> u naravi u iznosu od </w:t>
      </w:r>
      <w:r w:rsidR="00B854E5">
        <w:rPr>
          <w:sz w:val="22"/>
          <w:szCs w:val="22"/>
          <w:lang w:val="hr-HR"/>
        </w:rPr>
        <w:t>19</w:t>
      </w:r>
      <w:r w:rsidR="00AD3684">
        <w:rPr>
          <w:sz w:val="22"/>
          <w:szCs w:val="22"/>
          <w:lang w:val="hr-HR"/>
        </w:rPr>
        <w:t>.</w:t>
      </w:r>
      <w:r w:rsidR="00B854E5">
        <w:rPr>
          <w:sz w:val="22"/>
          <w:szCs w:val="22"/>
          <w:lang w:val="hr-HR"/>
        </w:rPr>
        <w:t>416</w:t>
      </w:r>
      <w:r w:rsidR="00AD3684">
        <w:rPr>
          <w:sz w:val="22"/>
          <w:szCs w:val="22"/>
          <w:lang w:val="hr-HR"/>
        </w:rPr>
        <w:t>,</w:t>
      </w:r>
      <w:r w:rsidR="00B854E5">
        <w:rPr>
          <w:sz w:val="22"/>
          <w:szCs w:val="22"/>
          <w:lang w:val="hr-HR"/>
        </w:rPr>
        <w:t>93</w:t>
      </w:r>
      <w:r w:rsidR="00AD3684">
        <w:rPr>
          <w:sz w:val="22"/>
          <w:szCs w:val="22"/>
          <w:lang w:val="hr-HR"/>
        </w:rPr>
        <w:t xml:space="preserve"> </w:t>
      </w:r>
      <w:r w:rsidR="00B854E5">
        <w:rPr>
          <w:sz w:val="22"/>
          <w:szCs w:val="22"/>
          <w:lang w:val="hr-HR"/>
        </w:rPr>
        <w:t>€</w:t>
      </w:r>
      <w:r w:rsidR="00AD3684">
        <w:rPr>
          <w:sz w:val="22"/>
          <w:szCs w:val="22"/>
          <w:lang w:val="hr-HR"/>
        </w:rPr>
        <w:t xml:space="preserve"> te potpore za slučaj smrti radnika</w:t>
      </w:r>
      <w:r w:rsidR="003F6753">
        <w:rPr>
          <w:sz w:val="22"/>
          <w:szCs w:val="22"/>
          <w:lang w:val="hr-HR"/>
        </w:rPr>
        <w:t>, potpora u slučaju smrti</w:t>
      </w:r>
      <w:r w:rsidR="00AD3684">
        <w:rPr>
          <w:sz w:val="22"/>
          <w:szCs w:val="22"/>
          <w:lang w:val="hr-HR"/>
        </w:rPr>
        <w:t xml:space="preserve"> članova uže obitelji</w:t>
      </w:r>
      <w:r w:rsidR="003F6753">
        <w:rPr>
          <w:sz w:val="22"/>
          <w:szCs w:val="22"/>
          <w:lang w:val="hr-HR"/>
        </w:rPr>
        <w:t xml:space="preserve"> i potpore radnicima </w:t>
      </w:r>
      <w:r w:rsidR="003F6753" w:rsidRPr="00A530F9">
        <w:rPr>
          <w:sz w:val="22"/>
          <w:szCs w:val="22"/>
          <w:lang w:val="hr-HR"/>
        </w:rPr>
        <w:t>zbog neprekin</w:t>
      </w:r>
      <w:r w:rsidR="003F6753">
        <w:rPr>
          <w:sz w:val="22"/>
          <w:szCs w:val="22"/>
          <w:lang w:val="hr-HR"/>
        </w:rPr>
        <w:t>utog bolovanja dužeg od 90 dana</w:t>
      </w:r>
      <w:r w:rsidR="00AD3684">
        <w:rPr>
          <w:sz w:val="22"/>
          <w:szCs w:val="22"/>
          <w:lang w:val="hr-HR"/>
        </w:rPr>
        <w:t xml:space="preserve"> u iznosu </w:t>
      </w:r>
      <w:r w:rsidR="00B854E5">
        <w:rPr>
          <w:sz w:val="22"/>
          <w:szCs w:val="22"/>
          <w:lang w:val="hr-HR"/>
        </w:rPr>
        <w:t>1</w:t>
      </w:r>
      <w:r w:rsidR="00AD3684">
        <w:rPr>
          <w:sz w:val="22"/>
          <w:szCs w:val="22"/>
          <w:lang w:val="hr-HR"/>
        </w:rPr>
        <w:t>.</w:t>
      </w:r>
      <w:r w:rsidR="00B854E5">
        <w:rPr>
          <w:sz w:val="22"/>
          <w:szCs w:val="22"/>
          <w:lang w:val="hr-HR"/>
        </w:rPr>
        <w:t>791</w:t>
      </w:r>
      <w:r w:rsidR="00AD3684">
        <w:rPr>
          <w:sz w:val="22"/>
          <w:szCs w:val="22"/>
          <w:lang w:val="hr-HR"/>
        </w:rPr>
        <w:t>,</w:t>
      </w:r>
      <w:r w:rsidR="00B854E5">
        <w:rPr>
          <w:sz w:val="22"/>
          <w:szCs w:val="22"/>
          <w:lang w:val="hr-HR"/>
        </w:rPr>
        <w:t>77</w:t>
      </w:r>
      <w:r w:rsidR="00AD3684">
        <w:rPr>
          <w:sz w:val="22"/>
          <w:szCs w:val="22"/>
          <w:lang w:val="hr-HR"/>
        </w:rPr>
        <w:t xml:space="preserve"> </w:t>
      </w:r>
      <w:r w:rsidR="00B854E5">
        <w:rPr>
          <w:sz w:val="22"/>
          <w:szCs w:val="22"/>
          <w:lang w:val="hr-HR"/>
        </w:rPr>
        <w:t>€ te otpremnine za odlazak u mirovinu u iznosu od 1.327,24 €</w:t>
      </w:r>
      <w:r w:rsidR="00AD3684">
        <w:rPr>
          <w:sz w:val="22"/>
          <w:szCs w:val="22"/>
          <w:lang w:val="hr-HR"/>
        </w:rPr>
        <w:t>.</w:t>
      </w:r>
      <w:r w:rsidR="003F6753">
        <w:rPr>
          <w:sz w:val="22"/>
          <w:szCs w:val="22"/>
          <w:lang w:val="hr-HR"/>
        </w:rPr>
        <w:t xml:space="preserve"> </w:t>
      </w:r>
      <w:r w:rsidR="00841C4E">
        <w:rPr>
          <w:lang w:val="hr-HR"/>
        </w:rPr>
        <w:t xml:space="preserve"> </w:t>
      </w:r>
    </w:p>
    <w:p w14:paraId="7129CD48" w14:textId="77777777" w:rsidR="003D4686" w:rsidRPr="00A530F9" w:rsidRDefault="003D4686" w:rsidP="003D4686">
      <w:pPr>
        <w:jc w:val="both"/>
        <w:rPr>
          <w:sz w:val="22"/>
          <w:szCs w:val="22"/>
          <w:lang w:val="hr-HR"/>
        </w:rPr>
      </w:pPr>
      <w:r w:rsidRPr="00A530F9">
        <w:rPr>
          <w:sz w:val="22"/>
          <w:szCs w:val="22"/>
          <w:lang w:val="hr-HR"/>
        </w:rPr>
        <w:t>Doprinosi za obvezno zd</w:t>
      </w:r>
      <w:r w:rsidR="00CA7790">
        <w:rPr>
          <w:sz w:val="22"/>
          <w:szCs w:val="22"/>
          <w:lang w:val="hr-HR"/>
        </w:rPr>
        <w:t xml:space="preserve">ravstveno osiguranje povećani su </w:t>
      </w:r>
      <w:r w:rsidR="00B854E5">
        <w:rPr>
          <w:sz w:val="22"/>
          <w:szCs w:val="22"/>
          <w:lang w:val="hr-HR"/>
        </w:rPr>
        <w:t>12,4</w:t>
      </w:r>
      <w:r w:rsidR="00CA7790">
        <w:rPr>
          <w:sz w:val="22"/>
          <w:szCs w:val="22"/>
          <w:lang w:val="hr-HR"/>
        </w:rPr>
        <w:t xml:space="preserve">% te iznose </w:t>
      </w:r>
      <w:r w:rsidR="00D47708">
        <w:rPr>
          <w:sz w:val="22"/>
          <w:szCs w:val="22"/>
          <w:lang w:val="hr-HR"/>
        </w:rPr>
        <w:t>165</w:t>
      </w:r>
      <w:r w:rsidR="00CA7790">
        <w:rPr>
          <w:sz w:val="22"/>
          <w:szCs w:val="22"/>
          <w:lang w:val="hr-HR"/>
        </w:rPr>
        <w:t>.</w:t>
      </w:r>
      <w:r w:rsidR="00D47708">
        <w:rPr>
          <w:sz w:val="22"/>
          <w:szCs w:val="22"/>
          <w:lang w:val="hr-HR"/>
        </w:rPr>
        <w:t>030</w:t>
      </w:r>
      <w:r w:rsidR="00CA7790">
        <w:rPr>
          <w:sz w:val="22"/>
          <w:szCs w:val="22"/>
          <w:lang w:val="hr-HR"/>
        </w:rPr>
        <w:t>,</w:t>
      </w:r>
      <w:r w:rsidR="00D47708">
        <w:rPr>
          <w:sz w:val="22"/>
          <w:szCs w:val="22"/>
          <w:lang w:val="hr-HR"/>
        </w:rPr>
        <w:t>7</w:t>
      </w:r>
      <w:r w:rsidR="001F3ABF">
        <w:rPr>
          <w:sz w:val="22"/>
          <w:szCs w:val="22"/>
          <w:lang w:val="hr-HR"/>
        </w:rPr>
        <w:t>6</w:t>
      </w:r>
      <w:r w:rsidR="00CA7790">
        <w:rPr>
          <w:sz w:val="22"/>
          <w:szCs w:val="22"/>
          <w:lang w:val="hr-HR"/>
        </w:rPr>
        <w:t xml:space="preserve"> </w:t>
      </w:r>
      <w:r w:rsidR="00D47708">
        <w:rPr>
          <w:sz w:val="22"/>
          <w:szCs w:val="22"/>
          <w:lang w:val="hr-HR"/>
        </w:rPr>
        <w:t>€</w:t>
      </w:r>
      <w:r w:rsidR="00CA7790">
        <w:rPr>
          <w:sz w:val="22"/>
          <w:szCs w:val="22"/>
          <w:lang w:val="hr-HR"/>
        </w:rPr>
        <w:t xml:space="preserve"> dok su u 202</w:t>
      </w:r>
      <w:r w:rsidR="00D47708">
        <w:rPr>
          <w:sz w:val="22"/>
          <w:szCs w:val="22"/>
          <w:lang w:val="hr-HR"/>
        </w:rPr>
        <w:t>2</w:t>
      </w:r>
      <w:r w:rsidR="00CA7790">
        <w:rPr>
          <w:sz w:val="22"/>
          <w:szCs w:val="22"/>
          <w:lang w:val="hr-HR"/>
        </w:rPr>
        <w:t xml:space="preserve">. godini iznosili </w:t>
      </w:r>
      <w:r w:rsidR="001F3ABF">
        <w:rPr>
          <w:sz w:val="22"/>
          <w:szCs w:val="22"/>
          <w:lang w:val="hr-HR"/>
        </w:rPr>
        <w:t>1</w:t>
      </w:r>
      <w:r w:rsidR="00D47708">
        <w:rPr>
          <w:sz w:val="22"/>
          <w:szCs w:val="22"/>
          <w:lang w:val="hr-HR"/>
        </w:rPr>
        <w:t>46</w:t>
      </w:r>
      <w:r w:rsidR="00CA7790">
        <w:rPr>
          <w:sz w:val="22"/>
          <w:szCs w:val="22"/>
          <w:lang w:val="hr-HR"/>
        </w:rPr>
        <w:t>.</w:t>
      </w:r>
      <w:r w:rsidR="00D47708">
        <w:rPr>
          <w:sz w:val="22"/>
          <w:szCs w:val="22"/>
          <w:lang w:val="hr-HR"/>
        </w:rPr>
        <w:t>855</w:t>
      </w:r>
      <w:r w:rsidR="00495B5F">
        <w:rPr>
          <w:sz w:val="22"/>
          <w:szCs w:val="22"/>
          <w:lang w:val="hr-HR"/>
        </w:rPr>
        <w:t>,</w:t>
      </w:r>
      <w:r w:rsidR="00D47708">
        <w:rPr>
          <w:sz w:val="22"/>
          <w:szCs w:val="22"/>
          <w:lang w:val="hr-HR"/>
        </w:rPr>
        <w:t>59</w:t>
      </w:r>
      <w:r w:rsidRPr="00A530F9">
        <w:rPr>
          <w:sz w:val="22"/>
          <w:szCs w:val="22"/>
          <w:lang w:val="hr-HR"/>
        </w:rPr>
        <w:t xml:space="preserve"> </w:t>
      </w:r>
      <w:r w:rsidR="00D47708">
        <w:rPr>
          <w:sz w:val="22"/>
          <w:szCs w:val="22"/>
          <w:lang w:val="hr-HR"/>
        </w:rPr>
        <w:t>€</w:t>
      </w:r>
      <w:r w:rsidR="0064442B">
        <w:rPr>
          <w:sz w:val="22"/>
          <w:szCs w:val="22"/>
          <w:lang w:val="hr-HR"/>
        </w:rPr>
        <w:t xml:space="preserve"> razlog je povećanje i bruto plaća radnika.</w:t>
      </w:r>
    </w:p>
    <w:p w14:paraId="6BB529A8" w14:textId="77777777" w:rsidR="003D4686" w:rsidRDefault="003D4686" w:rsidP="003D468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200BFE74" w14:textId="77777777" w:rsidR="00CA7790" w:rsidRPr="00F41EF9" w:rsidRDefault="00CA7790" w:rsidP="003D4686">
      <w:pPr>
        <w:jc w:val="both"/>
        <w:rPr>
          <w:rFonts w:ascii="Calibri" w:hAnsi="Calibri"/>
          <w:b/>
          <w:sz w:val="20"/>
          <w:szCs w:val="20"/>
        </w:rPr>
      </w:pPr>
    </w:p>
    <w:bookmarkEnd w:id="0"/>
    <w:bookmarkEnd w:id="1"/>
    <w:p w14:paraId="072D7BB1" w14:textId="77777777" w:rsidR="00F41EF9" w:rsidRPr="00185652" w:rsidRDefault="008B414F" w:rsidP="00F41EF9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32</w:t>
      </w:r>
      <w:r w:rsidR="00185652" w:rsidRPr="00185652">
        <w:rPr>
          <w:b/>
          <w:sz w:val="22"/>
          <w:szCs w:val="22"/>
          <w:lang w:val="hr-HR"/>
        </w:rPr>
        <w:t xml:space="preserve"> Materijalni rashodi</w:t>
      </w:r>
    </w:p>
    <w:p w14:paraId="76EED6B7" w14:textId="77777777" w:rsidR="00331BEC" w:rsidRDefault="00F41EF9" w:rsidP="00955554">
      <w:pPr>
        <w:jc w:val="both"/>
        <w:rPr>
          <w:sz w:val="22"/>
          <w:szCs w:val="22"/>
          <w:lang w:val="hr-HR"/>
        </w:rPr>
      </w:pPr>
      <w:r w:rsidRPr="00185652">
        <w:rPr>
          <w:sz w:val="22"/>
          <w:szCs w:val="22"/>
          <w:lang w:val="hr-HR"/>
        </w:rPr>
        <w:t xml:space="preserve">Ova skupina rashoda </w:t>
      </w:r>
      <w:r w:rsidR="0003095C">
        <w:rPr>
          <w:sz w:val="22"/>
          <w:szCs w:val="22"/>
          <w:lang w:val="hr-HR"/>
        </w:rPr>
        <w:t xml:space="preserve">povećala se u ukupnom iznosu  </w:t>
      </w:r>
      <w:r w:rsidR="0064442B">
        <w:rPr>
          <w:sz w:val="22"/>
          <w:szCs w:val="22"/>
          <w:lang w:val="hr-HR"/>
        </w:rPr>
        <w:t>3,1</w:t>
      </w:r>
      <w:r w:rsidRPr="00185652">
        <w:rPr>
          <w:sz w:val="22"/>
          <w:szCs w:val="22"/>
          <w:lang w:val="hr-HR"/>
        </w:rPr>
        <w:t xml:space="preserve"> %</w:t>
      </w:r>
      <w:r w:rsidR="00C37832">
        <w:rPr>
          <w:sz w:val="22"/>
          <w:szCs w:val="22"/>
          <w:lang w:val="hr-HR"/>
        </w:rPr>
        <w:t xml:space="preserve"> i i</w:t>
      </w:r>
      <w:r w:rsidR="0003095C">
        <w:rPr>
          <w:sz w:val="22"/>
          <w:szCs w:val="22"/>
          <w:lang w:val="hr-HR"/>
        </w:rPr>
        <w:t xml:space="preserve">znosi </w:t>
      </w:r>
      <w:r w:rsidR="0064442B">
        <w:rPr>
          <w:sz w:val="22"/>
          <w:szCs w:val="22"/>
          <w:lang w:val="hr-HR"/>
        </w:rPr>
        <w:t>357.621</w:t>
      </w:r>
      <w:r w:rsidR="0003095C">
        <w:rPr>
          <w:sz w:val="22"/>
          <w:szCs w:val="22"/>
          <w:lang w:val="hr-HR"/>
        </w:rPr>
        <w:t>,</w:t>
      </w:r>
      <w:r w:rsidR="0064442B">
        <w:rPr>
          <w:sz w:val="22"/>
          <w:szCs w:val="22"/>
          <w:lang w:val="hr-HR"/>
        </w:rPr>
        <w:t>65</w:t>
      </w:r>
      <w:r w:rsidR="00C37832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€</w:t>
      </w:r>
      <w:r w:rsidR="0003095C">
        <w:rPr>
          <w:sz w:val="22"/>
          <w:szCs w:val="22"/>
          <w:lang w:val="hr-HR"/>
        </w:rPr>
        <w:t>, dok je za 202</w:t>
      </w:r>
      <w:r w:rsidR="0064442B">
        <w:rPr>
          <w:sz w:val="22"/>
          <w:szCs w:val="22"/>
          <w:lang w:val="hr-HR"/>
        </w:rPr>
        <w:t>2</w:t>
      </w:r>
      <w:r w:rsidRPr="00185652">
        <w:rPr>
          <w:sz w:val="22"/>
          <w:szCs w:val="22"/>
          <w:lang w:val="hr-HR"/>
        </w:rPr>
        <w:t xml:space="preserve">. </w:t>
      </w:r>
      <w:r w:rsidR="0003095C">
        <w:rPr>
          <w:sz w:val="22"/>
          <w:szCs w:val="22"/>
          <w:lang w:val="hr-HR"/>
        </w:rPr>
        <w:t xml:space="preserve">godinu iznos bio </w:t>
      </w:r>
      <w:r w:rsidR="0064442B">
        <w:rPr>
          <w:sz w:val="22"/>
          <w:szCs w:val="22"/>
          <w:lang w:val="hr-HR"/>
        </w:rPr>
        <w:t>346</w:t>
      </w:r>
      <w:r w:rsidR="0003095C">
        <w:rPr>
          <w:sz w:val="22"/>
          <w:szCs w:val="22"/>
          <w:lang w:val="hr-HR"/>
        </w:rPr>
        <w:t>.</w:t>
      </w:r>
      <w:r w:rsidR="0064442B">
        <w:rPr>
          <w:sz w:val="22"/>
          <w:szCs w:val="22"/>
          <w:lang w:val="hr-HR"/>
        </w:rPr>
        <w:t>975,86</w:t>
      </w:r>
      <w:r w:rsidR="00C37832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€</w:t>
      </w:r>
      <w:r w:rsidR="00C37832">
        <w:rPr>
          <w:sz w:val="22"/>
          <w:szCs w:val="22"/>
          <w:lang w:val="hr-HR"/>
        </w:rPr>
        <w:t xml:space="preserve">. </w:t>
      </w:r>
      <w:r w:rsidR="00F5553F">
        <w:rPr>
          <w:sz w:val="22"/>
          <w:szCs w:val="22"/>
          <w:lang w:val="hr-HR"/>
        </w:rPr>
        <w:t>S</w:t>
      </w:r>
      <w:r w:rsidR="0003095C">
        <w:rPr>
          <w:sz w:val="22"/>
          <w:szCs w:val="22"/>
          <w:lang w:val="hr-HR"/>
        </w:rPr>
        <w:t>lužbenih</w:t>
      </w:r>
      <w:r w:rsidR="00955554">
        <w:rPr>
          <w:sz w:val="22"/>
          <w:szCs w:val="22"/>
          <w:lang w:val="hr-HR"/>
        </w:rPr>
        <w:t xml:space="preserve"> putovanja</w:t>
      </w:r>
      <w:r w:rsidR="00F5553F">
        <w:rPr>
          <w:sz w:val="22"/>
          <w:szCs w:val="22"/>
          <w:lang w:val="hr-HR"/>
        </w:rPr>
        <w:t xml:space="preserve"> </w:t>
      </w:r>
      <w:r w:rsidR="0003095C">
        <w:rPr>
          <w:sz w:val="22"/>
          <w:szCs w:val="22"/>
          <w:lang w:val="hr-HR"/>
        </w:rPr>
        <w:t xml:space="preserve"> bilo</w:t>
      </w:r>
      <w:r w:rsidR="00256941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 xml:space="preserve">je minimalno </w:t>
      </w:r>
      <w:r w:rsidR="00F5553F">
        <w:rPr>
          <w:sz w:val="22"/>
          <w:szCs w:val="22"/>
          <w:lang w:val="hr-HR"/>
        </w:rPr>
        <w:t xml:space="preserve">iz razloga što su stručna usavršavanja održana </w:t>
      </w:r>
      <w:r w:rsidR="00331BEC">
        <w:rPr>
          <w:sz w:val="22"/>
          <w:szCs w:val="22"/>
          <w:lang w:val="hr-HR"/>
        </w:rPr>
        <w:t>online predavanjim</w:t>
      </w:r>
      <w:r w:rsidR="0064442B">
        <w:rPr>
          <w:sz w:val="22"/>
          <w:szCs w:val="22"/>
          <w:lang w:val="hr-HR"/>
        </w:rPr>
        <w:t>a</w:t>
      </w:r>
      <w:r w:rsidR="00331BEC">
        <w:rPr>
          <w:sz w:val="22"/>
          <w:szCs w:val="22"/>
          <w:lang w:val="hr-HR"/>
        </w:rPr>
        <w:t>. Naknade za prijevoz radnika na</w:t>
      </w:r>
      <w:r w:rsidR="0003095C">
        <w:rPr>
          <w:sz w:val="22"/>
          <w:szCs w:val="22"/>
          <w:lang w:val="hr-HR"/>
        </w:rPr>
        <w:t xml:space="preserve"> posao i s posla iznos</w:t>
      </w:r>
      <w:r w:rsidR="0064442B">
        <w:rPr>
          <w:sz w:val="22"/>
          <w:szCs w:val="22"/>
          <w:lang w:val="hr-HR"/>
        </w:rPr>
        <w:t>e</w:t>
      </w:r>
      <w:r w:rsidR="0003095C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30</w:t>
      </w:r>
      <w:r w:rsidR="0003095C">
        <w:rPr>
          <w:sz w:val="22"/>
          <w:szCs w:val="22"/>
          <w:lang w:val="hr-HR"/>
        </w:rPr>
        <w:t>.</w:t>
      </w:r>
      <w:r w:rsidR="0064442B">
        <w:rPr>
          <w:sz w:val="22"/>
          <w:szCs w:val="22"/>
          <w:lang w:val="hr-HR"/>
        </w:rPr>
        <w:t>955</w:t>
      </w:r>
      <w:r w:rsidR="0003095C">
        <w:rPr>
          <w:sz w:val="22"/>
          <w:szCs w:val="22"/>
          <w:lang w:val="hr-HR"/>
        </w:rPr>
        <w:t>,</w:t>
      </w:r>
      <w:r w:rsidR="0064442B">
        <w:rPr>
          <w:sz w:val="22"/>
          <w:szCs w:val="22"/>
          <w:lang w:val="hr-HR"/>
        </w:rPr>
        <w:t>44</w:t>
      </w:r>
      <w:r w:rsidR="0003095C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€</w:t>
      </w:r>
      <w:r w:rsidR="0003095C">
        <w:rPr>
          <w:sz w:val="22"/>
          <w:szCs w:val="22"/>
          <w:lang w:val="hr-HR"/>
        </w:rPr>
        <w:t xml:space="preserve"> dok </w:t>
      </w:r>
      <w:r w:rsidR="0064442B">
        <w:rPr>
          <w:sz w:val="22"/>
          <w:szCs w:val="22"/>
          <w:lang w:val="hr-HR"/>
        </w:rPr>
        <w:t>su</w:t>
      </w:r>
      <w:r w:rsidR="0003095C">
        <w:rPr>
          <w:sz w:val="22"/>
          <w:szCs w:val="22"/>
          <w:lang w:val="hr-HR"/>
        </w:rPr>
        <w:t xml:space="preserve"> u 202</w:t>
      </w:r>
      <w:r w:rsidR="0064442B">
        <w:rPr>
          <w:sz w:val="22"/>
          <w:szCs w:val="22"/>
          <w:lang w:val="hr-HR"/>
        </w:rPr>
        <w:t>2</w:t>
      </w:r>
      <w:r w:rsidR="00331BEC">
        <w:rPr>
          <w:sz w:val="22"/>
          <w:szCs w:val="22"/>
          <w:lang w:val="hr-HR"/>
        </w:rPr>
        <w:t>. godini iznosi</w:t>
      </w:r>
      <w:r w:rsidR="0003095C">
        <w:rPr>
          <w:sz w:val="22"/>
          <w:szCs w:val="22"/>
          <w:lang w:val="hr-HR"/>
        </w:rPr>
        <w:t>l</w:t>
      </w:r>
      <w:r w:rsidR="0064442B">
        <w:rPr>
          <w:sz w:val="22"/>
          <w:szCs w:val="22"/>
          <w:lang w:val="hr-HR"/>
        </w:rPr>
        <w:t>e</w:t>
      </w:r>
      <w:r w:rsidR="0003095C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24</w:t>
      </w:r>
      <w:r w:rsidR="0003095C">
        <w:rPr>
          <w:sz w:val="22"/>
          <w:szCs w:val="22"/>
          <w:lang w:val="hr-HR"/>
        </w:rPr>
        <w:t>.</w:t>
      </w:r>
      <w:r w:rsidR="0064442B">
        <w:rPr>
          <w:sz w:val="22"/>
          <w:szCs w:val="22"/>
          <w:lang w:val="hr-HR"/>
        </w:rPr>
        <w:t>468</w:t>
      </w:r>
      <w:r w:rsidR="0003095C">
        <w:rPr>
          <w:sz w:val="22"/>
          <w:szCs w:val="22"/>
          <w:lang w:val="hr-HR"/>
        </w:rPr>
        <w:t>,</w:t>
      </w:r>
      <w:r w:rsidR="0064442B">
        <w:rPr>
          <w:sz w:val="22"/>
          <w:szCs w:val="22"/>
          <w:lang w:val="hr-HR"/>
        </w:rPr>
        <w:t>33</w:t>
      </w:r>
      <w:r w:rsidR="0003095C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€</w:t>
      </w:r>
      <w:r w:rsidR="0003095C">
        <w:rPr>
          <w:sz w:val="22"/>
          <w:szCs w:val="22"/>
          <w:lang w:val="hr-HR"/>
        </w:rPr>
        <w:t xml:space="preserve"> </w:t>
      </w:r>
      <w:r w:rsidR="00120A03">
        <w:rPr>
          <w:sz w:val="22"/>
          <w:szCs w:val="22"/>
          <w:lang w:val="hr-HR"/>
        </w:rPr>
        <w:t xml:space="preserve">iznos je </w:t>
      </w:r>
      <w:r w:rsidR="0064442B">
        <w:rPr>
          <w:sz w:val="22"/>
          <w:szCs w:val="22"/>
          <w:lang w:val="hr-HR"/>
        </w:rPr>
        <w:t>povećan a ovisi o relacijama na kojima putuju radnici.</w:t>
      </w:r>
      <w:r w:rsidR="00120A03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O</w:t>
      </w:r>
      <w:r w:rsidR="00331BEC">
        <w:rPr>
          <w:sz w:val="22"/>
          <w:szCs w:val="22"/>
          <w:lang w:val="hr-HR"/>
        </w:rPr>
        <w:t>bračun troškova prijevoza na posao i s</w:t>
      </w:r>
      <w:r w:rsidR="005221EF">
        <w:rPr>
          <w:sz w:val="22"/>
          <w:szCs w:val="22"/>
          <w:lang w:val="hr-HR"/>
        </w:rPr>
        <w:t xml:space="preserve"> </w:t>
      </w:r>
      <w:r w:rsidR="00331BEC">
        <w:rPr>
          <w:sz w:val="22"/>
          <w:szCs w:val="22"/>
          <w:lang w:val="hr-HR"/>
        </w:rPr>
        <w:t>posla</w:t>
      </w:r>
      <w:r w:rsidR="00120A03">
        <w:rPr>
          <w:sz w:val="22"/>
          <w:szCs w:val="22"/>
          <w:lang w:val="hr-HR"/>
        </w:rPr>
        <w:t xml:space="preserve"> obračunavao se </w:t>
      </w:r>
      <w:r w:rsidR="0064442B">
        <w:rPr>
          <w:sz w:val="22"/>
          <w:szCs w:val="22"/>
          <w:lang w:val="hr-HR"/>
        </w:rPr>
        <w:t>0,18</w:t>
      </w:r>
      <w:r w:rsidR="00120A03">
        <w:rPr>
          <w:sz w:val="22"/>
          <w:szCs w:val="22"/>
          <w:lang w:val="hr-HR"/>
        </w:rPr>
        <w:t xml:space="preserve"> </w:t>
      </w:r>
      <w:r w:rsidR="0064442B">
        <w:rPr>
          <w:sz w:val="22"/>
          <w:szCs w:val="22"/>
          <w:lang w:val="hr-HR"/>
        </w:rPr>
        <w:t>€</w:t>
      </w:r>
      <w:r w:rsidR="005221EF">
        <w:rPr>
          <w:sz w:val="22"/>
          <w:szCs w:val="22"/>
          <w:lang w:val="hr-HR"/>
        </w:rPr>
        <w:t xml:space="preserve"> po prijeđenom kilometru za udaljenost od mjesta stanovanja do mjesta rada, dok se  </w:t>
      </w:r>
      <w:r w:rsidR="0080725E">
        <w:rPr>
          <w:sz w:val="22"/>
          <w:szCs w:val="22"/>
          <w:lang w:val="hr-HR"/>
        </w:rPr>
        <w:t>ranije</w:t>
      </w:r>
      <w:r w:rsidR="005221EF">
        <w:rPr>
          <w:sz w:val="22"/>
          <w:szCs w:val="22"/>
          <w:lang w:val="hr-HR"/>
        </w:rPr>
        <w:t xml:space="preserve"> trošak prijevoza na posao i s posla obračunavao po  cijeni </w:t>
      </w:r>
      <w:r w:rsidR="00764470">
        <w:rPr>
          <w:sz w:val="22"/>
          <w:szCs w:val="22"/>
          <w:lang w:val="hr-HR"/>
        </w:rPr>
        <w:t>1,00 kn po prijeđenom kilometru</w:t>
      </w:r>
      <w:r w:rsidR="005221EF">
        <w:rPr>
          <w:sz w:val="22"/>
          <w:szCs w:val="22"/>
          <w:lang w:val="hr-HR"/>
        </w:rPr>
        <w:t>.</w:t>
      </w:r>
    </w:p>
    <w:p w14:paraId="43B02B22" w14:textId="77777777" w:rsidR="00764470" w:rsidRDefault="00764470" w:rsidP="00955554">
      <w:pPr>
        <w:jc w:val="both"/>
        <w:rPr>
          <w:sz w:val="22"/>
          <w:szCs w:val="22"/>
          <w:lang w:val="hr-HR"/>
        </w:rPr>
      </w:pPr>
    </w:p>
    <w:p w14:paraId="58738C8B" w14:textId="77777777" w:rsidR="001C467D" w:rsidRPr="00B64230" w:rsidRDefault="000173EA" w:rsidP="001C467D">
      <w:pPr>
        <w:shd w:val="clear" w:color="auto" w:fill="FFFFFF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85652">
        <w:rPr>
          <w:sz w:val="22"/>
          <w:szCs w:val="22"/>
          <w:lang w:val="hr-HR"/>
        </w:rPr>
        <w:t>R</w:t>
      </w:r>
      <w:r w:rsidR="00F41EF9" w:rsidRPr="00185652">
        <w:rPr>
          <w:sz w:val="22"/>
          <w:szCs w:val="22"/>
          <w:lang w:val="hr-HR"/>
        </w:rPr>
        <w:t xml:space="preserve">ashodi </w:t>
      </w:r>
      <w:r w:rsidR="00185652">
        <w:rPr>
          <w:sz w:val="22"/>
          <w:szCs w:val="22"/>
          <w:lang w:val="hr-HR"/>
        </w:rPr>
        <w:t xml:space="preserve">za materijal i </w:t>
      </w:r>
      <w:r w:rsidR="00764470">
        <w:rPr>
          <w:sz w:val="22"/>
          <w:szCs w:val="22"/>
          <w:lang w:val="hr-HR"/>
        </w:rPr>
        <w:t>energiju</w:t>
      </w:r>
      <w:r w:rsidR="004360D4">
        <w:rPr>
          <w:sz w:val="22"/>
          <w:szCs w:val="22"/>
          <w:lang w:val="hr-HR"/>
        </w:rPr>
        <w:t xml:space="preserve"> iznose</w:t>
      </w:r>
      <w:r w:rsidR="005617AF">
        <w:rPr>
          <w:sz w:val="22"/>
          <w:szCs w:val="22"/>
          <w:lang w:val="hr-HR"/>
        </w:rPr>
        <w:t xml:space="preserve"> </w:t>
      </w:r>
      <w:r w:rsidR="004360D4">
        <w:rPr>
          <w:sz w:val="22"/>
          <w:szCs w:val="22"/>
          <w:lang w:val="hr-HR"/>
        </w:rPr>
        <w:t xml:space="preserve"> </w:t>
      </w:r>
      <w:r w:rsidR="00764470">
        <w:rPr>
          <w:sz w:val="22"/>
          <w:szCs w:val="22"/>
          <w:lang w:val="hr-HR"/>
        </w:rPr>
        <w:t>225</w:t>
      </w:r>
      <w:r w:rsidR="005617AF">
        <w:rPr>
          <w:sz w:val="22"/>
          <w:szCs w:val="22"/>
          <w:lang w:val="hr-HR"/>
        </w:rPr>
        <w:t>.</w:t>
      </w:r>
      <w:r w:rsidR="00764470">
        <w:rPr>
          <w:sz w:val="22"/>
          <w:szCs w:val="22"/>
          <w:lang w:val="hr-HR"/>
        </w:rPr>
        <w:t>118</w:t>
      </w:r>
      <w:r w:rsidR="005617AF">
        <w:rPr>
          <w:sz w:val="22"/>
          <w:szCs w:val="22"/>
          <w:lang w:val="hr-HR"/>
        </w:rPr>
        <w:t>,</w:t>
      </w:r>
      <w:r w:rsidR="00764470">
        <w:rPr>
          <w:sz w:val="22"/>
          <w:szCs w:val="22"/>
          <w:lang w:val="hr-HR"/>
        </w:rPr>
        <w:t>34</w:t>
      </w:r>
      <w:r w:rsidR="004360D4">
        <w:rPr>
          <w:sz w:val="22"/>
          <w:szCs w:val="22"/>
          <w:lang w:val="hr-HR"/>
        </w:rPr>
        <w:t xml:space="preserve"> </w:t>
      </w:r>
      <w:r w:rsidR="00764470">
        <w:rPr>
          <w:sz w:val="22"/>
          <w:szCs w:val="22"/>
          <w:lang w:val="hr-HR"/>
        </w:rPr>
        <w:t>€</w:t>
      </w:r>
      <w:r w:rsidR="004360D4">
        <w:rPr>
          <w:sz w:val="22"/>
          <w:szCs w:val="22"/>
          <w:lang w:val="hr-HR"/>
        </w:rPr>
        <w:t xml:space="preserve"> i </w:t>
      </w:r>
      <w:r w:rsidR="00764470">
        <w:rPr>
          <w:sz w:val="22"/>
          <w:szCs w:val="22"/>
          <w:lang w:val="hr-HR"/>
        </w:rPr>
        <w:t xml:space="preserve">smanjeni </w:t>
      </w:r>
      <w:r w:rsidR="004360D4">
        <w:rPr>
          <w:sz w:val="22"/>
          <w:szCs w:val="22"/>
          <w:lang w:val="hr-HR"/>
        </w:rPr>
        <w:t xml:space="preserve">su </w:t>
      </w:r>
      <w:r w:rsidR="00764470">
        <w:rPr>
          <w:sz w:val="22"/>
          <w:szCs w:val="22"/>
          <w:lang w:val="hr-HR"/>
        </w:rPr>
        <w:t>u odnosu na 2022. godinu</w:t>
      </w:r>
      <w:r w:rsidR="004360D4">
        <w:rPr>
          <w:sz w:val="22"/>
          <w:szCs w:val="22"/>
          <w:lang w:val="hr-HR"/>
        </w:rPr>
        <w:t xml:space="preserve"> </w:t>
      </w:r>
      <w:r w:rsidR="00764470">
        <w:rPr>
          <w:sz w:val="22"/>
          <w:szCs w:val="22"/>
          <w:lang w:val="hr-HR"/>
        </w:rPr>
        <w:t>5</w:t>
      </w:r>
      <w:r w:rsidR="004360D4">
        <w:rPr>
          <w:sz w:val="22"/>
          <w:szCs w:val="22"/>
          <w:lang w:val="hr-HR"/>
        </w:rPr>
        <w:t>,</w:t>
      </w:r>
      <w:r w:rsidR="00764470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% iz razloga što </w:t>
      </w:r>
      <w:r w:rsidR="00764470">
        <w:rPr>
          <w:sz w:val="22"/>
          <w:szCs w:val="22"/>
          <w:lang w:val="hr-HR"/>
        </w:rPr>
        <w:t xml:space="preserve">su </w:t>
      </w:r>
      <w:r w:rsidR="005617AF">
        <w:rPr>
          <w:sz w:val="22"/>
          <w:szCs w:val="22"/>
          <w:lang w:val="hr-HR"/>
        </w:rPr>
        <w:t xml:space="preserve"> cijene </w:t>
      </w:r>
      <w:r w:rsidR="0080725E">
        <w:rPr>
          <w:sz w:val="22"/>
          <w:szCs w:val="22"/>
          <w:lang w:val="hr-HR"/>
        </w:rPr>
        <w:t xml:space="preserve">namirnica </w:t>
      </w:r>
      <w:r w:rsidR="00764470">
        <w:rPr>
          <w:sz w:val="22"/>
          <w:szCs w:val="22"/>
          <w:lang w:val="hr-HR"/>
        </w:rPr>
        <w:t xml:space="preserve"> porasle dok su cijene</w:t>
      </w:r>
      <w:r w:rsidR="0080725E">
        <w:rPr>
          <w:sz w:val="22"/>
          <w:szCs w:val="22"/>
          <w:lang w:val="hr-HR"/>
        </w:rPr>
        <w:t xml:space="preserve"> </w:t>
      </w:r>
      <w:r w:rsidR="005617AF">
        <w:rPr>
          <w:sz w:val="22"/>
          <w:szCs w:val="22"/>
          <w:lang w:val="hr-HR"/>
        </w:rPr>
        <w:t>energenata</w:t>
      </w:r>
      <w:r w:rsidR="00764470">
        <w:rPr>
          <w:sz w:val="22"/>
          <w:szCs w:val="22"/>
          <w:lang w:val="hr-HR"/>
        </w:rPr>
        <w:t xml:space="preserve"> niže budući je Vlada RH donesla Uredbu o</w:t>
      </w:r>
      <w:r w:rsidR="001C467D" w:rsidRPr="00B64230">
        <w:rPr>
          <w:sz w:val="22"/>
          <w:szCs w:val="22"/>
          <w:lang w:val="hr-HR"/>
        </w:rPr>
        <w:t xml:space="preserve"> otklanjanju poremećaja na domaćem tržištu energije  te </w:t>
      </w:r>
      <w:r w:rsidR="00B64230" w:rsidRPr="00B64230">
        <w:rPr>
          <w:sz w:val="22"/>
          <w:szCs w:val="22"/>
          <w:lang w:val="hr-HR"/>
        </w:rPr>
        <w:t xml:space="preserve">je </w:t>
      </w:r>
      <w:r w:rsidR="001C467D" w:rsidRPr="00B64230">
        <w:rPr>
          <w:sz w:val="22"/>
          <w:szCs w:val="22"/>
          <w:lang w:val="hr-HR"/>
        </w:rPr>
        <w:t>oček</w:t>
      </w:r>
      <w:r w:rsidR="00B64230" w:rsidRPr="00B64230">
        <w:rPr>
          <w:sz w:val="22"/>
          <w:szCs w:val="22"/>
          <w:lang w:val="hr-HR"/>
        </w:rPr>
        <w:t>ivano smanjen</w:t>
      </w:r>
      <w:r w:rsidR="001C467D" w:rsidRPr="00B64230">
        <w:rPr>
          <w:sz w:val="22"/>
          <w:szCs w:val="22"/>
          <w:lang w:val="hr-HR"/>
        </w:rPr>
        <w:t xml:space="preserve"> iznos za trošak električne energije.</w:t>
      </w:r>
    </w:p>
    <w:p w14:paraId="63E39E7D" w14:textId="77777777" w:rsidR="00955554" w:rsidRPr="00240063" w:rsidRDefault="000173EA" w:rsidP="0095555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B414F">
        <w:rPr>
          <w:sz w:val="22"/>
          <w:szCs w:val="22"/>
          <w:lang w:val="hr-HR"/>
        </w:rPr>
        <w:t xml:space="preserve">U izvještajnom razdoblju </w:t>
      </w:r>
      <w:r w:rsidR="00B64230">
        <w:rPr>
          <w:sz w:val="22"/>
          <w:szCs w:val="22"/>
          <w:lang w:val="hr-HR"/>
        </w:rPr>
        <w:t xml:space="preserve">utrošeno </w:t>
      </w:r>
      <w:r w:rsidR="008B414F">
        <w:rPr>
          <w:sz w:val="22"/>
          <w:szCs w:val="22"/>
          <w:lang w:val="hr-HR"/>
        </w:rPr>
        <w:t>je</w:t>
      </w:r>
      <w:r w:rsidR="00B64230">
        <w:rPr>
          <w:sz w:val="22"/>
          <w:szCs w:val="22"/>
          <w:lang w:val="hr-HR"/>
        </w:rPr>
        <w:t xml:space="preserve"> za nabavu</w:t>
      </w:r>
      <w:r w:rsidR="008B414F">
        <w:rPr>
          <w:sz w:val="22"/>
          <w:szCs w:val="22"/>
          <w:lang w:val="hr-HR"/>
        </w:rPr>
        <w:t xml:space="preserve"> sitnog inventara iznos od </w:t>
      </w:r>
      <w:r w:rsidR="00B64230">
        <w:rPr>
          <w:sz w:val="22"/>
          <w:szCs w:val="22"/>
          <w:lang w:val="hr-HR"/>
        </w:rPr>
        <w:t>9</w:t>
      </w:r>
      <w:r w:rsidR="008B414F">
        <w:rPr>
          <w:sz w:val="22"/>
          <w:szCs w:val="22"/>
          <w:lang w:val="hr-HR"/>
        </w:rPr>
        <w:t>.</w:t>
      </w:r>
      <w:r w:rsidR="00B64230">
        <w:rPr>
          <w:sz w:val="22"/>
          <w:szCs w:val="22"/>
          <w:lang w:val="hr-HR"/>
        </w:rPr>
        <w:t>787</w:t>
      </w:r>
      <w:r w:rsidR="008B414F">
        <w:rPr>
          <w:sz w:val="22"/>
          <w:szCs w:val="22"/>
          <w:lang w:val="hr-HR"/>
        </w:rPr>
        <w:t>,</w:t>
      </w:r>
      <w:r w:rsidR="00B64230">
        <w:rPr>
          <w:sz w:val="22"/>
          <w:szCs w:val="22"/>
          <w:lang w:val="hr-HR"/>
        </w:rPr>
        <w:t>08</w:t>
      </w:r>
      <w:r w:rsidR="008B414F">
        <w:rPr>
          <w:sz w:val="22"/>
          <w:szCs w:val="22"/>
          <w:lang w:val="hr-HR"/>
        </w:rPr>
        <w:t xml:space="preserve"> </w:t>
      </w:r>
      <w:r w:rsidR="00B64230">
        <w:rPr>
          <w:sz w:val="22"/>
          <w:szCs w:val="22"/>
          <w:lang w:val="hr-HR"/>
        </w:rPr>
        <w:t xml:space="preserve">€ čime je </w:t>
      </w:r>
      <w:r w:rsidR="00645842">
        <w:rPr>
          <w:sz w:val="22"/>
          <w:szCs w:val="22"/>
          <w:lang w:val="hr-HR"/>
        </w:rPr>
        <w:t xml:space="preserve">nabavljena  didaktička oprema, </w:t>
      </w:r>
      <w:r w:rsidR="00B64230">
        <w:rPr>
          <w:sz w:val="22"/>
          <w:szCs w:val="22"/>
          <w:lang w:val="hr-HR"/>
        </w:rPr>
        <w:t xml:space="preserve">telefonska centrala, ormarić za odgojitelje, </w:t>
      </w:r>
      <w:proofErr w:type="spellStart"/>
      <w:r w:rsidR="00B64230">
        <w:rPr>
          <w:sz w:val="22"/>
          <w:szCs w:val="22"/>
          <w:lang w:val="hr-HR"/>
        </w:rPr>
        <w:t>termobox</w:t>
      </w:r>
      <w:proofErr w:type="spellEnd"/>
      <w:r w:rsidR="00645842">
        <w:rPr>
          <w:sz w:val="22"/>
          <w:szCs w:val="22"/>
          <w:lang w:val="hr-HR"/>
        </w:rPr>
        <w:t>, per</w:t>
      </w:r>
      <w:r w:rsidR="00764470">
        <w:rPr>
          <w:sz w:val="22"/>
          <w:szCs w:val="22"/>
          <w:lang w:val="hr-HR"/>
        </w:rPr>
        <w:t>ilica</w:t>
      </w:r>
      <w:r w:rsidR="00645842">
        <w:rPr>
          <w:sz w:val="22"/>
          <w:szCs w:val="22"/>
          <w:lang w:val="hr-HR"/>
        </w:rPr>
        <w:t xml:space="preserve"> za </w:t>
      </w:r>
      <w:r w:rsidR="00764470">
        <w:rPr>
          <w:sz w:val="22"/>
          <w:szCs w:val="22"/>
          <w:lang w:val="hr-HR"/>
        </w:rPr>
        <w:t>rublje</w:t>
      </w:r>
      <w:r w:rsidR="00645842">
        <w:rPr>
          <w:sz w:val="22"/>
          <w:szCs w:val="22"/>
          <w:lang w:val="hr-HR"/>
        </w:rPr>
        <w:t xml:space="preserve">, </w:t>
      </w:r>
      <w:r w:rsidR="00764470">
        <w:rPr>
          <w:sz w:val="22"/>
          <w:szCs w:val="22"/>
          <w:lang w:val="hr-HR"/>
        </w:rPr>
        <w:t>usisavač</w:t>
      </w:r>
      <w:r w:rsidR="00645842">
        <w:rPr>
          <w:sz w:val="22"/>
          <w:szCs w:val="22"/>
          <w:lang w:val="hr-HR"/>
        </w:rPr>
        <w:t>, glazben</w:t>
      </w:r>
      <w:r w:rsidR="00764470">
        <w:rPr>
          <w:sz w:val="22"/>
          <w:szCs w:val="22"/>
          <w:lang w:val="hr-HR"/>
        </w:rPr>
        <w:t>a</w:t>
      </w:r>
      <w:r w:rsidR="00645842">
        <w:rPr>
          <w:sz w:val="22"/>
          <w:szCs w:val="22"/>
          <w:lang w:val="hr-HR"/>
        </w:rPr>
        <w:t xml:space="preserve"> linij</w:t>
      </w:r>
      <w:r w:rsidR="00764470">
        <w:rPr>
          <w:sz w:val="22"/>
          <w:szCs w:val="22"/>
          <w:lang w:val="hr-HR"/>
        </w:rPr>
        <w:t>a</w:t>
      </w:r>
      <w:r w:rsidR="00645842">
        <w:rPr>
          <w:sz w:val="22"/>
          <w:szCs w:val="22"/>
          <w:lang w:val="hr-HR"/>
        </w:rPr>
        <w:t xml:space="preserve">, CD </w:t>
      </w:r>
      <w:proofErr w:type="spellStart"/>
      <w:r w:rsidR="00645842">
        <w:rPr>
          <w:sz w:val="22"/>
          <w:szCs w:val="22"/>
          <w:lang w:val="hr-HR"/>
        </w:rPr>
        <w:t>playeri</w:t>
      </w:r>
      <w:proofErr w:type="spellEnd"/>
      <w:r w:rsidR="00645842">
        <w:rPr>
          <w:sz w:val="22"/>
          <w:szCs w:val="22"/>
          <w:lang w:val="hr-HR"/>
        </w:rPr>
        <w:t>, kuhinjski uređaji i sl.</w:t>
      </w:r>
    </w:p>
    <w:p w14:paraId="2E441420" w14:textId="77777777" w:rsidR="005F6C1A" w:rsidRDefault="005F6C1A" w:rsidP="009C691B">
      <w:pPr>
        <w:pStyle w:val="Zaglavlje"/>
        <w:jc w:val="both"/>
        <w:rPr>
          <w:b/>
          <w:sz w:val="22"/>
          <w:szCs w:val="22"/>
          <w:lang w:val="hr-HR"/>
        </w:rPr>
      </w:pPr>
    </w:p>
    <w:p w14:paraId="04C4ECFD" w14:textId="77777777" w:rsidR="00E6727A" w:rsidRPr="009C691B" w:rsidRDefault="00DD08F6" w:rsidP="009C691B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1E2437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323 </w:t>
      </w:r>
      <w:r w:rsidR="00E6727A" w:rsidRPr="009C691B">
        <w:rPr>
          <w:b/>
          <w:sz w:val="22"/>
          <w:szCs w:val="22"/>
          <w:lang w:val="hr-HR"/>
        </w:rPr>
        <w:t>Rashodi za usluge</w:t>
      </w:r>
    </w:p>
    <w:p w14:paraId="11C465D4" w14:textId="77777777" w:rsidR="00382A6D" w:rsidRDefault="00E6727A" w:rsidP="00382A6D">
      <w:pPr>
        <w:jc w:val="both"/>
        <w:rPr>
          <w:sz w:val="22"/>
          <w:szCs w:val="22"/>
          <w:lang w:val="hr-HR"/>
        </w:rPr>
      </w:pPr>
      <w:r w:rsidRPr="00D24E68">
        <w:rPr>
          <w:sz w:val="22"/>
          <w:szCs w:val="22"/>
          <w:lang w:val="hr-HR"/>
        </w:rPr>
        <w:t xml:space="preserve"> </w:t>
      </w:r>
      <w:r w:rsidR="00D24E68">
        <w:rPr>
          <w:sz w:val="22"/>
          <w:szCs w:val="22"/>
          <w:lang w:val="hr-HR"/>
        </w:rPr>
        <w:t>Ova skupi</w:t>
      </w:r>
      <w:r w:rsidR="001E2437">
        <w:rPr>
          <w:sz w:val="22"/>
          <w:szCs w:val="22"/>
          <w:lang w:val="hr-HR"/>
        </w:rPr>
        <w:t xml:space="preserve">na rashoda iznosi </w:t>
      </w:r>
      <w:r w:rsidR="00F54249">
        <w:rPr>
          <w:sz w:val="22"/>
          <w:szCs w:val="22"/>
          <w:lang w:val="hr-HR"/>
        </w:rPr>
        <w:t>89</w:t>
      </w:r>
      <w:r w:rsidR="001E2437">
        <w:rPr>
          <w:sz w:val="22"/>
          <w:szCs w:val="22"/>
          <w:lang w:val="hr-HR"/>
        </w:rPr>
        <w:t>.</w:t>
      </w:r>
      <w:r w:rsidR="00F54249">
        <w:rPr>
          <w:sz w:val="22"/>
          <w:szCs w:val="22"/>
          <w:lang w:val="hr-HR"/>
        </w:rPr>
        <w:t>973</w:t>
      </w:r>
      <w:r w:rsidR="001E2437">
        <w:rPr>
          <w:sz w:val="22"/>
          <w:szCs w:val="22"/>
          <w:lang w:val="hr-HR"/>
        </w:rPr>
        <w:t>,</w:t>
      </w:r>
      <w:r w:rsidR="00F54249">
        <w:rPr>
          <w:sz w:val="22"/>
          <w:szCs w:val="22"/>
          <w:lang w:val="hr-HR"/>
        </w:rPr>
        <w:t>84</w:t>
      </w:r>
      <w:r w:rsidR="001E2437">
        <w:rPr>
          <w:sz w:val="22"/>
          <w:szCs w:val="22"/>
          <w:lang w:val="hr-HR"/>
        </w:rPr>
        <w:t xml:space="preserve"> </w:t>
      </w:r>
      <w:r w:rsidR="00F54249">
        <w:rPr>
          <w:sz w:val="22"/>
          <w:szCs w:val="22"/>
          <w:lang w:val="hr-HR"/>
        </w:rPr>
        <w:t>€</w:t>
      </w:r>
      <w:r w:rsidR="001E2437">
        <w:rPr>
          <w:sz w:val="22"/>
          <w:szCs w:val="22"/>
          <w:lang w:val="hr-HR"/>
        </w:rPr>
        <w:t xml:space="preserve"> što u odnosu na 202</w:t>
      </w:r>
      <w:r w:rsidR="00F54249">
        <w:rPr>
          <w:sz w:val="22"/>
          <w:szCs w:val="22"/>
          <w:lang w:val="hr-HR"/>
        </w:rPr>
        <w:t>2</w:t>
      </w:r>
      <w:r w:rsidR="005F6C1A">
        <w:rPr>
          <w:sz w:val="22"/>
          <w:szCs w:val="22"/>
          <w:lang w:val="hr-HR"/>
        </w:rPr>
        <w:t xml:space="preserve">. </w:t>
      </w:r>
      <w:r w:rsidR="007D4EDC">
        <w:rPr>
          <w:sz w:val="22"/>
          <w:szCs w:val="22"/>
          <w:lang w:val="hr-HR"/>
        </w:rPr>
        <w:t>godinu s</w:t>
      </w:r>
      <w:r w:rsidR="005F6C1A">
        <w:rPr>
          <w:sz w:val="22"/>
          <w:szCs w:val="22"/>
          <w:lang w:val="hr-HR"/>
        </w:rPr>
        <w:t xml:space="preserve"> iznosom </w:t>
      </w:r>
      <w:r w:rsidR="00256941">
        <w:rPr>
          <w:sz w:val="22"/>
          <w:szCs w:val="22"/>
          <w:lang w:val="hr-HR"/>
        </w:rPr>
        <w:t xml:space="preserve"> od </w:t>
      </w:r>
      <w:r w:rsidR="00F54249">
        <w:rPr>
          <w:sz w:val="22"/>
          <w:szCs w:val="22"/>
          <w:lang w:val="hr-HR"/>
        </w:rPr>
        <w:t>74</w:t>
      </w:r>
      <w:r w:rsidR="001E2437">
        <w:rPr>
          <w:sz w:val="22"/>
          <w:szCs w:val="22"/>
          <w:lang w:val="hr-HR"/>
        </w:rPr>
        <w:t>.</w:t>
      </w:r>
      <w:r w:rsidR="00F54249">
        <w:rPr>
          <w:sz w:val="22"/>
          <w:szCs w:val="22"/>
          <w:lang w:val="hr-HR"/>
        </w:rPr>
        <w:t>823</w:t>
      </w:r>
      <w:r w:rsidR="001E2437">
        <w:rPr>
          <w:sz w:val="22"/>
          <w:szCs w:val="22"/>
          <w:lang w:val="hr-HR"/>
        </w:rPr>
        <w:t>,</w:t>
      </w:r>
      <w:r w:rsidR="004D0CD4">
        <w:rPr>
          <w:sz w:val="22"/>
          <w:szCs w:val="22"/>
          <w:lang w:val="hr-HR"/>
        </w:rPr>
        <w:t>92</w:t>
      </w:r>
      <w:r w:rsidR="00694D7A">
        <w:rPr>
          <w:sz w:val="22"/>
          <w:szCs w:val="22"/>
          <w:lang w:val="hr-HR"/>
        </w:rPr>
        <w:t xml:space="preserve"> </w:t>
      </w:r>
      <w:r w:rsidR="004D0CD4">
        <w:rPr>
          <w:sz w:val="22"/>
          <w:szCs w:val="22"/>
          <w:lang w:val="hr-HR"/>
        </w:rPr>
        <w:t>€</w:t>
      </w:r>
      <w:r w:rsidR="00A30D63">
        <w:rPr>
          <w:sz w:val="22"/>
          <w:szCs w:val="22"/>
          <w:lang w:val="hr-HR"/>
        </w:rPr>
        <w:t xml:space="preserve"> ima povećanje  od </w:t>
      </w:r>
      <w:r w:rsidR="004D0CD4">
        <w:rPr>
          <w:sz w:val="22"/>
          <w:szCs w:val="22"/>
          <w:lang w:val="hr-HR"/>
        </w:rPr>
        <w:t>20</w:t>
      </w:r>
      <w:r w:rsidR="00A30D63">
        <w:rPr>
          <w:sz w:val="22"/>
          <w:szCs w:val="22"/>
          <w:lang w:val="hr-HR"/>
        </w:rPr>
        <w:t>,</w:t>
      </w:r>
      <w:r w:rsidR="004D0CD4">
        <w:rPr>
          <w:sz w:val="22"/>
          <w:szCs w:val="22"/>
          <w:lang w:val="hr-HR"/>
        </w:rPr>
        <w:t>2</w:t>
      </w:r>
      <w:r w:rsidR="005F6C1A">
        <w:rPr>
          <w:sz w:val="22"/>
          <w:szCs w:val="22"/>
          <w:lang w:val="hr-HR"/>
        </w:rPr>
        <w:t>%.</w:t>
      </w:r>
      <w:r w:rsidRPr="00D24E68">
        <w:rPr>
          <w:sz w:val="22"/>
          <w:szCs w:val="22"/>
          <w:lang w:val="hr-HR"/>
        </w:rPr>
        <w:t xml:space="preserve"> Rashodi za </w:t>
      </w:r>
      <w:r w:rsidR="005F6C1A">
        <w:rPr>
          <w:sz w:val="22"/>
          <w:szCs w:val="22"/>
          <w:lang w:val="hr-HR"/>
        </w:rPr>
        <w:t xml:space="preserve"> </w:t>
      </w:r>
      <w:r w:rsidRPr="00D24E68">
        <w:rPr>
          <w:sz w:val="22"/>
          <w:szCs w:val="22"/>
          <w:lang w:val="hr-HR"/>
        </w:rPr>
        <w:t xml:space="preserve">usluge tekućeg </w:t>
      </w:r>
      <w:r w:rsidR="00D24E68">
        <w:rPr>
          <w:sz w:val="22"/>
          <w:szCs w:val="22"/>
          <w:lang w:val="hr-HR"/>
        </w:rPr>
        <w:t xml:space="preserve">i </w:t>
      </w:r>
      <w:r w:rsidRPr="00D24E68">
        <w:rPr>
          <w:sz w:val="22"/>
          <w:szCs w:val="22"/>
          <w:lang w:val="hr-HR"/>
        </w:rPr>
        <w:t>investi</w:t>
      </w:r>
      <w:r w:rsidR="005F6C1A">
        <w:rPr>
          <w:sz w:val="22"/>
          <w:szCs w:val="22"/>
          <w:lang w:val="hr-HR"/>
        </w:rPr>
        <w:t>cijskog održavanja povećane</w:t>
      </w:r>
      <w:r w:rsidR="001E2437">
        <w:rPr>
          <w:sz w:val="22"/>
          <w:szCs w:val="22"/>
          <w:lang w:val="hr-HR"/>
        </w:rPr>
        <w:t xml:space="preserve"> su za </w:t>
      </w:r>
      <w:r w:rsidR="004D0CD4">
        <w:rPr>
          <w:sz w:val="22"/>
          <w:szCs w:val="22"/>
          <w:lang w:val="hr-HR"/>
        </w:rPr>
        <w:t>27</w:t>
      </w:r>
      <w:r w:rsidR="001E2437">
        <w:rPr>
          <w:sz w:val="22"/>
          <w:szCs w:val="22"/>
          <w:lang w:val="hr-HR"/>
        </w:rPr>
        <w:t>,</w:t>
      </w:r>
      <w:r w:rsidR="004D0CD4">
        <w:rPr>
          <w:sz w:val="22"/>
          <w:szCs w:val="22"/>
          <w:lang w:val="hr-HR"/>
        </w:rPr>
        <w:t>4</w:t>
      </w:r>
      <w:r w:rsidR="001E2437">
        <w:rPr>
          <w:sz w:val="22"/>
          <w:szCs w:val="22"/>
          <w:lang w:val="hr-HR"/>
        </w:rPr>
        <w:t xml:space="preserve">% i iznose </w:t>
      </w:r>
      <w:r w:rsidR="004D0CD4">
        <w:rPr>
          <w:sz w:val="22"/>
          <w:szCs w:val="22"/>
          <w:lang w:val="hr-HR"/>
        </w:rPr>
        <w:t>36</w:t>
      </w:r>
      <w:r w:rsidR="001E2437">
        <w:rPr>
          <w:sz w:val="22"/>
          <w:szCs w:val="22"/>
          <w:lang w:val="hr-HR"/>
        </w:rPr>
        <w:t>.</w:t>
      </w:r>
      <w:r w:rsidR="004D0CD4">
        <w:rPr>
          <w:sz w:val="22"/>
          <w:szCs w:val="22"/>
          <w:lang w:val="hr-HR"/>
        </w:rPr>
        <w:t>289</w:t>
      </w:r>
      <w:r w:rsidR="001E2437">
        <w:rPr>
          <w:sz w:val="22"/>
          <w:szCs w:val="22"/>
          <w:lang w:val="hr-HR"/>
        </w:rPr>
        <w:t>,</w:t>
      </w:r>
      <w:r w:rsidR="004D0CD4">
        <w:rPr>
          <w:sz w:val="22"/>
          <w:szCs w:val="22"/>
          <w:lang w:val="hr-HR"/>
        </w:rPr>
        <w:t>50</w:t>
      </w:r>
      <w:r w:rsidR="0003123B">
        <w:rPr>
          <w:sz w:val="22"/>
          <w:szCs w:val="22"/>
          <w:lang w:val="hr-HR"/>
        </w:rPr>
        <w:t xml:space="preserve"> </w:t>
      </w:r>
      <w:r w:rsidR="004D0CD4">
        <w:rPr>
          <w:sz w:val="22"/>
          <w:szCs w:val="22"/>
          <w:lang w:val="hr-HR"/>
        </w:rPr>
        <w:t>€</w:t>
      </w:r>
      <w:r w:rsidR="0003123B">
        <w:rPr>
          <w:sz w:val="22"/>
          <w:szCs w:val="22"/>
          <w:lang w:val="hr-HR"/>
        </w:rPr>
        <w:t xml:space="preserve"> </w:t>
      </w:r>
      <w:r w:rsidR="007D4EDC">
        <w:rPr>
          <w:sz w:val="22"/>
          <w:szCs w:val="22"/>
          <w:lang w:val="hr-HR"/>
        </w:rPr>
        <w:t>obuhvaćaju redovna servisiranja opreme</w:t>
      </w:r>
      <w:r w:rsidR="009C6246">
        <w:rPr>
          <w:sz w:val="22"/>
          <w:szCs w:val="22"/>
          <w:lang w:val="hr-HR"/>
        </w:rPr>
        <w:t>, razne popravke kuhinjskih uređaja,</w:t>
      </w:r>
      <w:r w:rsidR="00644AB9">
        <w:rPr>
          <w:sz w:val="22"/>
          <w:szCs w:val="22"/>
          <w:lang w:val="hr-HR"/>
        </w:rPr>
        <w:t xml:space="preserve"> </w:t>
      </w:r>
      <w:r w:rsidR="004D0CD4">
        <w:rPr>
          <w:sz w:val="22"/>
          <w:szCs w:val="22"/>
          <w:lang w:val="hr-HR"/>
        </w:rPr>
        <w:t>izrada nadstrešnice u matičnom vrtiću u Krku</w:t>
      </w:r>
      <w:r w:rsidR="00644AB9">
        <w:rPr>
          <w:sz w:val="22"/>
          <w:szCs w:val="22"/>
          <w:lang w:val="hr-HR"/>
        </w:rPr>
        <w:t>, poprava</w:t>
      </w:r>
      <w:r w:rsidR="003D28CF">
        <w:rPr>
          <w:sz w:val="22"/>
          <w:szCs w:val="22"/>
          <w:lang w:val="hr-HR"/>
        </w:rPr>
        <w:t xml:space="preserve">k cirkularne pumpe </w:t>
      </w:r>
      <w:r w:rsidR="00644AB9">
        <w:rPr>
          <w:sz w:val="22"/>
          <w:szCs w:val="22"/>
          <w:lang w:val="hr-HR"/>
        </w:rPr>
        <w:t xml:space="preserve"> u Područnom vrtiću </w:t>
      </w:r>
      <w:r w:rsidR="003D28CF">
        <w:rPr>
          <w:sz w:val="22"/>
          <w:szCs w:val="22"/>
          <w:lang w:val="hr-HR"/>
        </w:rPr>
        <w:t>Omišalj</w:t>
      </w:r>
      <w:r w:rsidR="00644AB9">
        <w:rPr>
          <w:sz w:val="22"/>
          <w:szCs w:val="22"/>
          <w:lang w:val="hr-HR"/>
        </w:rPr>
        <w:t xml:space="preserve"> i dr.</w:t>
      </w:r>
      <w:r w:rsidR="005F6C1A">
        <w:rPr>
          <w:sz w:val="22"/>
          <w:szCs w:val="22"/>
          <w:lang w:val="hr-HR"/>
        </w:rPr>
        <w:t xml:space="preserve"> </w:t>
      </w:r>
      <w:r w:rsidR="00EA5549">
        <w:rPr>
          <w:sz w:val="22"/>
          <w:szCs w:val="22"/>
          <w:lang w:val="hr-HR"/>
        </w:rPr>
        <w:t>Zdravstvene i veterinarske usluge iznose</w:t>
      </w:r>
      <w:r w:rsidR="00E14563">
        <w:rPr>
          <w:sz w:val="22"/>
          <w:szCs w:val="22"/>
          <w:lang w:val="hr-HR"/>
        </w:rPr>
        <w:t xml:space="preserve"> </w:t>
      </w:r>
      <w:r w:rsidR="009A402C">
        <w:rPr>
          <w:sz w:val="22"/>
          <w:szCs w:val="22"/>
          <w:lang w:val="hr-HR"/>
        </w:rPr>
        <w:t>3</w:t>
      </w:r>
      <w:r w:rsidR="00E14563">
        <w:rPr>
          <w:sz w:val="22"/>
          <w:szCs w:val="22"/>
          <w:lang w:val="hr-HR"/>
        </w:rPr>
        <w:t>.</w:t>
      </w:r>
      <w:r w:rsidR="003D28CF">
        <w:rPr>
          <w:sz w:val="22"/>
          <w:szCs w:val="22"/>
          <w:lang w:val="hr-HR"/>
        </w:rPr>
        <w:t>267</w:t>
      </w:r>
      <w:r w:rsidR="00E14563">
        <w:rPr>
          <w:sz w:val="22"/>
          <w:szCs w:val="22"/>
          <w:lang w:val="hr-HR"/>
        </w:rPr>
        <w:t>,</w:t>
      </w:r>
      <w:r w:rsidR="003D28CF">
        <w:rPr>
          <w:sz w:val="22"/>
          <w:szCs w:val="22"/>
          <w:lang w:val="hr-HR"/>
        </w:rPr>
        <w:t>82</w:t>
      </w:r>
      <w:r w:rsidR="00E14563">
        <w:rPr>
          <w:sz w:val="22"/>
          <w:szCs w:val="22"/>
          <w:lang w:val="hr-HR"/>
        </w:rPr>
        <w:t xml:space="preserve"> </w:t>
      </w:r>
      <w:r w:rsidR="003D28CF">
        <w:rPr>
          <w:sz w:val="22"/>
          <w:szCs w:val="22"/>
          <w:lang w:val="hr-HR"/>
        </w:rPr>
        <w:t>€</w:t>
      </w:r>
      <w:r w:rsidR="00E14563">
        <w:rPr>
          <w:sz w:val="22"/>
          <w:szCs w:val="22"/>
          <w:lang w:val="hr-HR"/>
        </w:rPr>
        <w:t xml:space="preserve"> dok su 202</w:t>
      </w:r>
      <w:r w:rsidR="003D28CF">
        <w:rPr>
          <w:sz w:val="22"/>
          <w:szCs w:val="22"/>
          <w:lang w:val="hr-HR"/>
        </w:rPr>
        <w:t>2</w:t>
      </w:r>
      <w:r w:rsidR="009A402C">
        <w:rPr>
          <w:sz w:val="22"/>
          <w:szCs w:val="22"/>
          <w:lang w:val="hr-HR"/>
        </w:rPr>
        <w:t>.</w:t>
      </w:r>
      <w:r w:rsidR="003D28CF">
        <w:rPr>
          <w:sz w:val="22"/>
          <w:szCs w:val="22"/>
          <w:lang w:val="hr-HR"/>
        </w:rPr>
        <w:t xml:space="preserve">godine </w:t>
      </w:r>
      <w:r w:rsidR="009A402C">
        <w:rPr>
          <w:sz w:val="22"/>
          <w:szCs w:val="22"/>
          <w:lang w:val="hr-HR"/>
        </w:rPr>
        <w:t xml:space="preserve"> iznosile </w:t>
      </w:r>
      <w:r w:rsidR="003D28CF">
        <w:rPr>
          <w:sz w:val="22"/>
          <w:szCs w:val="22"/>
          <w:lang w:val="hr-HR"/>
        </w:rPr>
        <w:t>5</w:t>
      </w:r>
      <w:r w:rsidR="009A402C">
        <w:rPr>
          <w:sz w:val="22"/>
          <w:szCs w:val="22"/>
          <w:lang w:val="hr-HR"/>
        </w:rPr>
        <w:t>.</w:t>
      </w:r>
      <w:r w:rsidR="003D28CF">
        <w:rPr>
          <w:sz w:val="22"/>
          <w:szCs w:val="22"/>
          <w:lang w:val="hr-HR"/>
        </w:rPr>
        <w:t>231</w:t>
      </w:r>
      <w:r w:rsidR="009A402C">
        <w:rPr>
          <w:sz w:val="22"/>
          <w:szCs w:val="22"/>
          <w:lang w:val="hr-HR"/>
        </w:rPr>
        <w:t>,</w:t>
      </w:r>
      <w:r w:rsidR="003D28CF">
        <w:rPr>
          <w:sz w:val="22"/>
          <w:szCs w:val="22"/>
          <w:lang w:val="hr-HR"/>
        </w:rPr>
        <w:t>70</w:t>
      </w:r>
      <w:r w:rsidR="009A402C">
        <w:rPr>
          <w:sz w:val="22"/>
          <w:szCs w:val="22"/>
          <w:lang w:val="hr-HR"/>
        </w:rPr>
        <w:t xml:space="preserve"> </w:t>
      </w:r>
      <w:r w:rsidR="003D28CF">
        <w:rPr>
          <w:sz w:val="22"/>
          <w:szCs w:val="22"/>
          <w:lang w:val="hr-HR"/>
        </w:rPr>
        <w:t>€</w:t>
      </w:r>
      <w:r w:rsidR="00E14563">
        <w:rPr>
          <w:sz w:val="22"/>
          <w:szCs w:val="22"/>
          <w:lang w:val="hr-HR"/>
        </w:rPr>
        <w:t xml:space="preserve"> </w:t>
      </w:r>
      <w:r w:rsidR="009A402C">
        <w:rPr>
          <w:sz w:val="22"/>
          <w:szCs w:val="22"/>
          <w:lang w:val="hr-HR"/>
        </w:rPr>
        <w:t xml:space="preserve">razlog </w:t>
      </w:r>
      <w:r w:rsidR="003D28CF">
        <w:rPr>
          <w:sz w:val="22"/>
          <w:szCs w:val="22"/>
          <w:lang w:val="hr-HR"/>
        </w:rPr>
        <w:t>smanje</w:t>
      </w:r>
      <w:r w:rsidR="009A402C">
        <w:rPr>
          <w:sz w:val="22"/>
          <w:szCs w:val="22"/>
          <w:lang w:val="hr-HR"/>
        </w:rPr>
        <w:t xml:space="preserve">nja je </w:t>
      </w:r>
      <w:r w:rsidR="00E14563">
        <w:rPr>
          <w:sz w:val="22"/>
          <w:szCs w:val="22"/>
          <w:lang w:val="hr-HR"/>
        </w:rPr>
        <w:t xml:space="preserve"> </w:t>
      </w:r>
      <w:r w:rsidR="003D28CF">
        <w:rPr>
          <w:sz w:val="22"/>
          <w:szCs w:val="22"/>
          <w:lang w:val="hr-HR"/>
        </w:rPr>
        <w:t xml:space="preserve">prestanak obveze </w:t>
      </w:r>
      <w:r w:rsidR="00E14563">
        <w:rPr>
          <w:sz w:val="22"/>
          <w:szCs w:val="22"/>
          <w:lang w:val="hr-HR"/>
        </w:rPr>
        <w:t xml:space="preserve">dezinsekcija prostorija </w:t>
      </w:r>
      <w:r w:rsidR="009A402C">
        <w:rPr>
          <w:sz w:val="22"/>
          <w:szCs w:val="22"/>
          <w:lang w:val="hr-HR"/>
        </w:rPr>
        <w:t>u kojima su boravile osobe pozitivne na Covid-19 te troškovi testiranja radnika na Covid-</w:t>
      </w:r>
      <w:r w:rsidR="008137A4">
        <w:rPr>
          <w:sz w:val="22"/>
          <w:szCs w:val="22"/>
          <w:lang w:val="hr-HR"/>
        </w:rPr>
        <w:t>19. za potrebe dolaska na posao</w:t>
      </w:r>
      <w:r w:rsidR="00E14563">
        <w:rPr>
          <w:sz w:val="22"/>
          <w:szCs w:val="22"/>
          <w:lang w:val="hr-HR"/>
        </w:rPr>
        <w:t xml:space="preserve">. Računalne usluge </w:t>
      </w:r>
      <w:r w:rsidR="00382A6D">
        <w:rPr>
          <w:sz w:val="22"/>
          <w:szCs w:val="22"/>
          <w:lang w:val="hr-HR"/>
        </w:rPr>
        <w:t>za održavanje informatičkog programa</w:t>
      </w:r>
      <w:r w:rsidR="009A402C">
        <w:rPr>
          <w:sz w:val="22"/>
          <w:szCs w:val="22"/>
          <w:lang w:val="hr-HR"/>
        </w:rPr>
        <w:t xml:space="preserve"> </w:t>
      </w:r>
      <w:r w:rsidR="003D28CF">
        <w:rPr>
          <w:sz w:val="22"/>
          <w:szCs w:val="22"/>
          <w:lang w:val="hr-HR"/>
        </w:rPr>
        <w:t xml:space="preserve">povećane su zbog obima posla kao što je prelazak valute iz kune u euro te se sve </w:t>
      </w:r>
      <w:r w:rsidR="003D28CF">
        <w:rPr>
          <w:sz w:val="22"/>
          <w:szCs w:val="22"/>
          <w:lang w:val="hr-HR"/>
        </w:rPr>
        <w:lastRenderedPageBreak/>
        <w:t>aplikacije moraju izmijeniti</w:t>
      </w:r>
      <w:r w:rsidR="009A402C">
        <w:rPr>
          <w:sz w:val="22"/>
          <w:szCs w:val="22"/>
          <w:lang w:val="hr-HR"/>
        </w:rPr>
        <w:t>.</w:t>
      </w:r>
      <w:r w:rsidR="003D28CF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Intelektualne usluge povećane su iz razloga što su zaposleni studenti na Studentski ugovor za obavljanje poslova radi zamjene odsutnih radnika.</w:t>
      </w:r>
    </w:p>
    <w:p w14:paraId="3683272B" w14:textId="77777777" w:rsidR="00D24E68" w:rsidRPr="00292224" w:rsidRDefault="00E14563" w:rsidP="00382A6D">
      <w:pPr>
        <w:jc w:val="both"/>
        <w:rPr>
          <w:sz w:val="22"/>
          <w:szCs w:val="22"/>
          <w:lang w:val="hr-HR"/>
        </w:rPr>
      </w:pPr>
      <w:r>
        <w:softHyphen/>
      </w:r>
    </w:p>
    <w:p w14:paraId="60827C74" w14:textId="77777777" w:rsidR="00E6727A" w:rsidRPr="00292224" w:rsidRDefault="0072771C" w:rsidP="00A5134F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</w:t>
      </w:r>
      <w:r w:rsidR="0035622E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329</w:t>
      </w:r>
      <w:r w:rsidR="00E6727A" w:rsidRPr="00292224">
        <w:rPr>
          <w:b/>
          <w:sz w:val="22"/>
          <w:szCs w:val="22"/>
          <w:lang w:val="hr-HR"/>
        </w:rPr>
        <w:t xml:space="preserve"> Ostali nespomenuti rashodi poslovanja</w:t>
      </w:r>
    </w:p>
    <w:p w14:paraId="08ED5432" w14:textId="77777777" w:rsidR="00C24A21" w:rsidRPr="00292224" w:rsidRDefault="00A5134F" w:rsidP="00C24A21">
      <w:pPr>
        <w:jc w:val="both"/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Ova skupina rashoda </w:t>
      </w:r>
      <w:r w:rsidR="00382A6D" w:rsidRPr="00292224">
        <w:rPr>
          <w:sz w:val="22"/>
          <w:szCs w:val="22"/>
          <w:lang w:val="hr-HR"/>
        </w:rPr>
        <w:t xml:space="preserve"> se</w:t>
      </w:r>
      <w:r w:rsidR="00E6727A"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povećala</w:t>
      </w:r>
      <w:r w:rsidR="00E6727A" w:rsidRPr="00292224">
        <w:rPr>
          <w:sz w:val="22"/>
          <w:szCs w:val="22"/>
          <w:lang w:val="hr-HR"/>
        </w:rPr>
        <w:t xml:space="preserve"> za </w:t>
      </w:r>
      <w:r w:rsidR="0035622E">
        <w:rPr>
          <w:sz w:val="22"/>
          <w:szCs w:val="22"/>
          <w:lang w:val="hr-HR"/>
        </w:rPr>
        <w:t>41</w:t>
      </w:r>
      <w:r w:rsidR="00CA0EA7">
        <w:rPr>
          <w:sz w:val="22"/>
          <w:szCs w:val="22"/>
          <w:lang w:val="hr-HR"/>
        </w:rPr>
        <w:t>,4</w:t>
      </w:r>
      <w:r w:rsidR="00C24A21" w:rsidRPr="00292224">
        <w:rPr>
          <w:sz w:val="22"/>
          <w:szCs w:val="22"/>
          <w:lang w:val="hr-HR"/>
        </w:rPr>
        <w:t xml:space="preserve"> </w:t>
      </w:r>
      <w:r w:rsidR="00382A6D" w:rsidRPr="00292224">
        <w:rPr>
          <w:sz w:val="22"/>
          <w:szCs w:val="22"/>
          <w:lang w:val="hr-HR"/>
        </w:rPr>
        <w:t xml:space="preserve">% i iznosi </w:t>
      </w:r>
      <w:r w:rsidR="0035622E">
        <w:rPr>
          <w:sz w:val="22"/>
          <w:szCs w:val="22"/>
          <w:lang w:val="hr-HR"/>
        </w:rPr>
        <w:t>9</w:t>
      </w:r>
      <w:r w:rsidR="00382A6D" w:rsidRPr="00292224">
        <w:rPr>
          <w:sz w:val="22"/>
          <w:szCs w:val="22"/>
          <w:lang w:val="hr-HR"/>
        </w:rPr>
        <w:t>.</w:t>
      </w:r>
      <w:r w:rsidR="00CA0EA7">
        <w:rPr>
          <w:sz w:val="22"/>
          <w:szCs w:val="22"/>
          <w:lang w:val="hr-HR"/>
        </w:rPr>
        <w:t>214</w:t>
      </w:r>
      <w:r w:rsidR="0035622E">
        <w:rPr>
          <w:sz w:val="22"/>
          <w:szCs w:val="22"/>
          <w:lang w:val="hr-HR"/>
        </w:rPr>
        <w:t>,</w:t>
      </w:r>
      <w:r w:rsidR="00CA0EA7">
        <w:rPr>
          <w:sz w:val="22"/>
          <w:szCs w:val="22"/>
          <w:lang w:val="hr-HR"/>
        </w:rPr>
        <w:t>42</w:t>
      </w:r>
      <w:r w:rsidR="00285A14"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€.</w:t>
      </w:r>
      <w:r w:rsidR="00285A14" w:rsidRPr="00292224">
        <w:rPr>
          <w:sz w:val="22"/>
          <w:szCs w:val="22"/>
          <w:lang w:val="hr-HR"/>
        </w:rPr>
        <w:t xml:space="preserve"> Rashodi se odnose  na pre</w:t>
      </w:r>
      <w:r w:rsidR="00382A6D" w:rsidRPr="00292224">
        <w:rPr>
          <w:sz w:val="22"/>
          <w:szCs w:val="22"/>
          <w:lang w:val="hr-HR"/>
        </w:rPr>
        <w:t xml:space="preserve">mije osiguranja u iznosu </w:t>
      </w:r>
      <w:r w:rsidR="00CA0EA7">
        <w:rPr>
          <w:sz w:val="22"/>
          <w:szCs w:val="22"/>
          <w:lang w:val="hr-HR"/>
        </w:rPr>
        <w:t>5</w:t>
      </w:r>
      <w:r w:rsidR="00382A6D" w:rsidRPr="00292224">
        <w:rPr>
          <w:sz w:val="22"/>
          <w:szCs w:val="22"/>
          <w:lang w:val="hr-HR"/>
        </w:rPr>
        <w:t>.</w:t>
      </w:r>
      <w:r w:rsidR="00CA0EA7">
        <w:rPr>
          <w:sz w:val="22"/>
          <w:szCs w:val="22"/>
          <w:lang w:val="hr-HR"/>
        </w:rPr>
        <w:t>332</w:t>
      </w:r>
      <w:r w:rsidR="00382A6D" w:rsidRPr="00292224">
        <w:rPr>
          <w:sz w:val="22"/>
          <w:szCs w:val="22"/>
          <w:lang w:val="hr-HR"/>
        </w:rPr>
        <w:t>,</w:t>
      </w:r>
      <w:r w:rsidR="00CA0EA7">
        <w:rPr>
          <w:sz w:val="22"/>
          <w:szCs w:val="22"/>
          <w:lang w:val="hr-HR"/>
        </w:rPr>
        <w:t>61</w:t>
      </w:r>
      <w:r w:rsidR="00694D7A"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€</w:t>
      </w:r>
      <w:r w:rsidR="0035622E">
        <w:rPr>
          <w:sz w:val="22"/>
          <w:szCs w:val="22"/>
          <w:lang w:val="hr-HR"/>
        </w:rPr>
        <w:t xml:space="preserve"> što predstavlja </w:t>
      </w:r>
      <w:r w:rsidR="00CA0EA7">
        <w:rPr>
          <w:sz w:val="22"/>
          <w:szCs w:val="22"/>
          <w:lang w:val="hr-HR"/>
        </w:rPr>
        <w:t>povećanje</w:t>
      </w:r>
      <w:r w:rsidR="0035622E">
        <w:rPr>
          <w:sz w:val="22"/>
          <w:szCs w:val="22"/>
          <w:lang w:val="hr-HR"/>
        </w:rPr>
        <w:t xml:space="preserve"> za </w:t>
      </w:r>
      <w:r w:rsidR="00CA0EA7">
        <w:rPr>
          <w:sz w:val="22"/>
          <w:szCs w:val="22"/>
          <w:lang w:val="hr-HR"/>
        </w:rPr>
        <w:t>27,8</w:t>
      </w:r>
      <w:r w:rsidR="0035622E">
        <w:rPr>
          <w:sz w:val="22"/>
          <w:szCs w:val="22"/>
          <w:lang w:val="hr-HR"/>
        </w:rPr>
        <w:t>% iz razloga što je nakon proveden</w:t>
      </w:r>
      <w:r w:rsidR="00AB65AD">
        <w:rPr>
          <w:sz w:val="22"/>
          <w:szCs w:val="22"/>
          <w:lang w:val="hr-HR"/>
        </w:rPr>
        <w:t>og</w:t>
      </w:r>
      <w:r w:rsidR="0035622E">
        <w:rPr>
          <w:sz w:val="22"/>
          <w:szCs w:val="22"/>
          <w:lang w:val="hr-HR"/>
        </w:rPr>
        <w:t xml:space="preserve"> </w:t>
      </w:r>
      <w:r w:rsidR="00AB65AD">
        <w:rPr>
          <w:sz w:val="22"/>
          <w:szCs w:val="22"/>
          <w:lang w:val="hr-HR"/>
        </w:rPr>
        <w:t xml:space="preserve">postupka </w:t>
      </w:r>
      <w:r w:rsidR="0035622E">
        <w:rPr>
          <w:sz w:val="22"/>
          <w:szCs w:val="22"/>
          <w:lang w:val="hr-HR"/>
        </w:rPr>
        <w:t>jednostavne nabave pre</w:t>
      </w:r>
      <w:r w:rsidR="00AB65AD">
        <w:rPr>
          <w:sz w:val="22"/>
          <w:szCs w:val="22"/>
          <w:lang w:val="hr-HR"/>
        </w:rPr>
        <w:t xml:space="preserve">mija </w:t>
      </w:r>
      <w:r w:rsidR="00CA0EA7">
        <w:rPr>
          <w:sz w:val="22"/>
          <w:szCs w:val="22"/>
          <w:lang w:val="hr-HR"/>
        </w:rPr>
        <w:t>osiguranja povećana</w:t>
      </w:r>
      <w:r w:rsidR="00AB65AD">
        <w:rPr>
          <w:sz w:val="22"/>
          <w:szCs w:val="22"/>
          <w:lang w:val="hr-HR"/>
        </w:rPr>
        <w:t>,</w:t>
      </w:r>
      <w:r w:rsidRPr="00292224">
        <w:rPr>
          <w:sz w:val="22"/>
          <w:szCs w:val="22"/>
          <w:lang w:val="hr-HR"/>
        </w:rPr>
        <w:t xml:space="preserve"> kao i naknada koja se plaća za nezapošljavanje inval</w:t>
      </w:r>
      <w:r w:rsidR="00694D7A" w:rsidRPr="00292224">
        <w:rPr>
          <w:sz w:val="22"/>
          <w:szCs w:val="22"/>
          <w:lang w:val="hr-HR"/>
        </w:rPr>
        <w:t>ida</w:t>
      </w:r>
      <w:r w:rsidR="00382A6D"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iznosi 3</w:t>
      </w:r>
      <w:r w:rsidR="00AB65AD">
        <w:rPr>
          <w:sz w:val="22"/>
          <w:szCs w:val="22"/>
          <w:lang w:val="hr-HR"/>
        </w:rPr>
        <w:t>.</w:t>
      </w:r>
      <w:r w:rsidR="00CA0EA7">
        <w:rPr>
          <w:sz w:val="22"/>
          <w:szCs w:val="22"/>
          <w:lang w:val="hr-HR"/>
        </w:rPr>
        <w:t>168</w:t>
      </w:r>
      <w:r w:rsidR="00382A6D" w:rsidRPr="00292224">
        <w:rPr>
          <w:sz w:val="22"/>
          <w:szCs w:val="22"/>
          <w:lang w:val="hr-HR"/>
        </w:rPr>
        <w:t>,</w:t>
      </w:r>
      <w:r w:rsidR="00CA0EA7">
        <w:rPr>
          <w:sz w:val="22"/>
          <w:szCs w:val="22"/>
          <w:lang w:val="hr-HR"/>
        </w:rPr>
        <w:t>33</w:t>
      </w:r>
      <w:r w:rsidR="00285A14"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€</w:t>
      </w:r>
      <w:r w:rsidR="00285A14" w:rsidRPr="00292224">
        <w:rPr>
          <w:sz w:val="22"/>
          <w:szCs w:val="22"/>
          <w:lang w:val="hr-HR"/>
        </w:rPr>
        <w:t xml:space="preserve"> što mjesečno </w:t>
      </w:r>
      <w:r w:rsidR="00694D7A" w:rsidRPr="00292224">
        <w:rPr>
          <w:sz w:val="22"/>
          <w:szCs w:val="22"/>
          <w:lang w:val="hr-HR"/>
        </w:rPr>
        <w:t xml:space="preserve"> izno</w:t>
      </w:r>
      <w:r w:rsidR="00382A6D" w:rsidRPr="00292224">
        <w:rPr>
          <w:sz w:val="22"/>
          <w:szCs w:val="22"/>
          <w:lang w:val="hr-HR"/>
        </w:rPr>
        <w:t xml:space="preserve">si </w:t>
      </w:r>
      <w:r w:rsidR="00CA0EA7">
        <w:rPr>
          <w:sz w:val="22"/>
          <w:szCs w:val="22"/>
          <w:lang w:val="hr-HR"/>
        </w:rPr>
        <w:t>560</w:t>
      </w:r>
      <w:r w:rsidR="00AB65AD">
        <w:rPr>
          <w:sz w:val="22"/>
          <w:szCs w:val="22"/>
          <w:lang w:val="hr-HR"/>
        </w:rPr>
        <w:t>,</w:t>
      </w:r>
      <w:r w:rsidR="00CA0EA7">
        <w:rPr>
          <w:sz w:val="22"/>
          <w:szCs w:val="22"/>
          <w:lang w:val="hr-HR"/>
        </w:rPr>
        <w:t xml:space="preserve">00 € </w:t>
      </w:r>
      <w:r w:rsidR="00285A14" w:rsidRPr="00292224">
        <w:rPr>
          <w:sz w:val="22"/>
          <w:szCs w:val="22"/>
          <w:lang w:val="hr-HR"/>
        </w:rPr>
        <w:t>a plaća se za</w:t>
      </w:r>
      <w:r w:rsidRPr="00292224">
        <w:rPr>
          <w:sz w:val="22"/>
          <w:szCs w:val="22"/>
          <w:lang w:val="hr-HR"/>
        </w:rPr>
        <w:t xml:space="preserve"> </w:t>
      </w:r>
      <w:r w:rsidR="00CA0EA7">
        <w:rPr>
          <w:sz w:val="22"/>
          <w:szCs w:val="22"/>
          <w:lang w:val="hr-HR"/>
        </w:rPr>
        <w:t>četiri</w:t>
      </w:r>
      <w:r w:rsidRPr="00292224">
        <w:rPr>
          <w:sz w:val="22"/>
          <w:szCs w:val="22"/>
          <w:lang w:val="hr-HR"/>
        </w:rPr>
        <w:t xml:space="preserve"> osobe</w:t>
      </w:r>
      <w:r w:rsidR="00E6727A" w:rsidRPr="00292224">
        <w:rPr>
          <w:sz w:val="22"/>
          <w:szCs w:val="22"/>
          <w:lang w:val="hr-HR"/>
        </w:rPr>
        <w:t xml:space="preserve">. </w:t>
      </w:r>
    </w:p>
    <w:p w14:paraId="13C3C4C7" w14:textId="77777777" w:rsidR="00532038" w:rsidRPr="00292224" w:rsidRDefault="00532038" w:rsidP="00A5134F">
      <w:pPr>
        <w:rPr>
          <w:sz w:val="22"/>
          <w:szCs w:val="22"/>
          <w:lang w:val="hr-HR"/>
        </w:rPr>
      </w:pPr>
    </w:p>
    <w:p w14:paraId="5860CC20" w14:textId="77777777" w:rsidR="00532038" w:rsidRPr="00292224" w:rsidRDefault="000103F6" w:rsidP="00532038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34</w:t>
      </w:r>
      <w:r w:rsidR="00532038" w:rsidRPr="00292224">
        <w:rPr>
          <w:b/>
          <w:sz w:val="22"/>
          <w:szCs w:val="22"/>
          <w:lang w:val="hr-HR"/>
        </w:rPr>
        <w:t xml:space="preserve"> Financijski rashodi </w:t>
      </w:r>
    </w:p>
    <w:p w14:paraId="1483CC8E" w14:textId="77777777" w:rsidR="00532038" w:rsidRDefault="006B573F" w:rsidP="00A5134F">
      <w:pPr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Ovi rashodi odnose se na bankarske </w:t>
      </w:r>
      <w:r w:rsidR="00C24A21" w:rsidRPr="00292224">
        <w:rPr>
          <w:sz w:val="22"/>
          <w:szCs w:val="22"/>
          <w:lang w:val="hr-HR"/>
        </w:rPr>
        <w:t>u</w:t>
      </w:r>
      <w:r w:rsidR="00F5553F" w:rsidRPr="00292224">
        <w:rPr>
          <w:sz w:val="22"/>
          <w:szCs w:val="22"/>
          <w:lang w:val="hr-HR"/>
        </w:rPr>
        <w:t xml:space="preserve">sluge i usluge </w:t>
      </w:r>
      <w:r w:rsidR="00A3043D" w:rsidRPr="00292224">
        <w:rPr>
          <w:sz w:val="22"/>
          <w:szCs w:val="22"/>
          <w:lang w:val="hr-HR"/>
        </w:rPr>
        <w:t xml:space="preserve">platnog prometa te iznose </w:t>
      </w:r>
      <w:r w:rsidR="00F45B54">
        <w:rPr>
          <w:sz w:val="22"/>
          <w:szCs w:val="22"/>
          <w:lang w:val="hr-HR"/>
        </w:rPr>
        <w:t>2</w:t>
      </w:r>
      <w:r w:rsidR="00A3043D" w:rsidRPr="00292224">
        <w:rPr>
          <w:sz w:val="22"/>
          <w:szCs w:val="22"/>
          <w:lang w:val="hr-HR"/>
        </w:rPr>
        <w:t>.</w:t>
      </w:r>
      <w:r w:rsidR="00F45B54">
        <w:rPr>
          <w:sz w:val="22"/>
          <w:szCs w:val="22"/>
          <w:lang w:val="hr-HR"/>
        </w:rPr>
        <w:t>841</w:t>
      </w:r>
      <w:r w:rsidR="00A3043D" w:rsidRPr="00292224">
        <w:rPr>
          <w:sz w:val="22"/>
          <w:szCs w:val="22"/>
          <w:lang w:val="hr-HR"/>
        </w:rPr>
        <w:t>,</w:t>
      </w:r>
      <w:r w:rsidR="00F45B54">
        <w:rPr>
          <w:sz w:val="22"/>
          <w:szCs w:val="22"/>
          <w:lang w:val="hr-HR"/>
        </w:rPr>
        <w:t>09</w:t>
      </w:r>
      <w:r w:rsidR="00C24A21" w:rsidRPr="00292224">
        <w:rPr>
          <w:sz w:val="22"/>
          <w:szCs w:val="22"/>
          <w:lang w:val="hr-HR"/>
        </w:rPr>
        <w:t xml:space="preserve"> </w:t>
      </w:r>
      <w:r w:rsidR="00F45B54">
        <w:rPr>
          <w:sz w:val="22"/>
          <w:szCs w:val="22"/>
          <w:lang w:val="hr-HR"/>
        </w:rPr>
        <w:t>€</w:t>
      </w:r>
      <w:r w:rsidR="00C24A21" w:rsidRPr="00292224">
        <w:rPr>
          <w:sz w:val="22"/>
          <w:szCs w:val="22"/>
          <w:lang w:val="hr-HR"/>
        </w:rPr>
        <w:t xml:space="preserve"> </w:t>
      </w:r>
      <w:r w:rsidR="00E54F6C">
        <w:rPr>
          <w:sz w:val="22"/>
          <w:szCs w:val="22"/>
          <w:lang w:val="hr-HR"/>
        </w:rPr>
        <w:t xml:space="preserve">i </w:t>
      </w:r>
      <w:r w:rsidR="00F45B54">
        <w:rPr>
          <w:sz w:val="22"/>
          <w:szCs w:val="22"/>
          <w:lang w:val="hr-HR"/>
        </w:rPr>
        <w:t>povećani</w:t>
      </w:r>
      <w:r w:rsidR="00E54F6C">
        <w:rPr>
          <w:sz w:val="22"/>
          <w:szCs w:val="22"/>
          <w:lang w:val="hr-HR"/>
        </w:rPr>
        <w:t xml:space="preserve"> su u </w:t>
      </w:r>
      <w:r w:rsidR="00A3043D" w:rsidRPr="00292224">
        <w:rPr>
          <w:sz w:val="22"/>
          <w:szCs w:val="22"/>
          <w:lang w:val="hr-HR"/>
        </w:rPr>
        <w:t>odnosu na 202</w:t>
      </w:r>
      <w:r w:rsidR="00F45B54">
        <w:rPr>
          <w:sz w:val="22"/>
          <w:szCs w:val="22"/>
          <w:lang w:val="hr-HR"/>
        </w:rPr>
        <w:t>2</w:t>
      </w:r>
      <w:r w:rsidR="00A3043D" w:rsidRPr="00292224">
        <w:rPr>
          <w:sz w:val="22"/>
          <w:szCs w:val="22"/>
          <w:lang w:val="hr-HR"/>
        </w:rPr>
        <w:t xml:space="preserve">. godinu </w:t>
      </w:r>
      <w:r w:rsidR="00F45B54">
        <w:rPr>
          <w:sz w:val="22"/>
          <w:szCs w:val="22"/>
          <w:lang w:val="hr-HR"/>
        </w:rPr>
        <w:t xml:space="preserve">15,2% </w:t>
      </w:r>
      <w:r w:rsidR="00A3043D" w:rsidRPr="00292224">
        <w:rPr>
          <w:sz w:val="22"/>
          <w:szCs w:val="22"/>
          <w:lang w:val="hr-HR"/>
        </w:rPr>
        <w:t xml:space="preserve">kad su iznosili </w:t>
      </w:r>
      <w:r w:rsidR="00F45B54">
        <w:rPr>
          <w:sz w:val="22"/>
          <w:szCs w:val="22"/>
          <w:lang w:val="hr-HR"/>
        </w:rPr>
        <w:t>2</w:t>
      </w:r>
      <w:r w:rsidR="00A3043D" w:rsidRPr="00292224">
        <w:rPr>
          <w:sz w:val="22"/>
          <w:szCs w:val="22"/>
          <w:lang w:val="hr-HR"/>
        </w:rPr>
        <w:t>.</w:t>
      </w:r>
      <w:r w:rsidR="00F45B54">
        <w:rPr>
          <w:sz w:val="22"/>
          <w:szCs w:val="22"/>
          <w:lang w:val="hr-HR"/>
        </w:rPr>
        <w:t>453</w:t>
      </w:r>
      <w:r w:rsidR="00A3043D" w:rsidRPr="00292224">
        <w:rPr>
          <w:sz w:val="22"/>
          <w:szCs w:val="22"/>
          <w:lang w:val="hr-HR"/>
        </w:rPr>
        <w:t>,</w:t>
      </w:r>
      <w:r w:rsidR="00F45B54">
        <w:rPr>
          <w:sz w:val="22"/>
          <w:szCs w:val="22"/>
          <w:lang w:val="hr-HR"/>
        </w:rPr>
        <w:t>78</w:t>
      </w:r>
      <w:r w:rsidR="00285A14" w:rsidRPr="00292224">
        <w:rPr>
          <w:sz w:val="22"/>
          <w:szCs w:val="22"/>
          <w:lang w:val="hr-HR"/>
        </w:rPr>
        <w:t xml:space="preserve"> </w:t>
      </w:r>
      <w:r w:rsidR="00F45B54">
        <w:rPr>
          <w:sz w:val="22"/>
          <w:szCs w:val="22"/>
          <w:lang w:val="hr-HR"/>
        </w:rPr>
        <w:t>€</w:t>
      </w:r>
      <w:r w:rsidR="00285A14" w:rsidRPr="00292224">
        <w:rPr>
          <w:sz w:val="22"/>
          <w:szCs w:val="22"/>
          <w:lang w:val="hr-HR"/>
        </w:rPr>
        <w:t>.</w:t>
      </w:r>
    </w:p>
    <w:p w14:paraId="1F4B30C4" w14:textId="77777777" w:rsidR="00FB07EA" w:rsidRDefault="00FB07EA" w:rsidP="00A5134F">
      <w:pPr>
        <w:rPr>
          <w:sz w:val="22"/>
          <w:szCs w:val="22"/>
          <w:lang w:val="hr-HR"/>
        </w:rPr>
      </w:pPr>
    </w:p>
    <w:p w14:paraId="229A8621" w14:textId="77777777" w:rsidR="00FB07EA" w:rsidRPr="00292224" w:rsidRDefault="00FB07EA" w:rsidP="00FB07EA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42</w:t>
      </w:r>
      <w:r w:rsidRPr="00292224">
        <w:rPr>
          <w:b/>
          <w:sz w:val="22"/>
          <w:szCs w:val="22"/>
          <w:lang w:val="hr-HR"/>
        </w:rPr>
        <w:t xml:space="preserve"> Rashodi za nabavu nefinancijske imovine</w:t>
      </w:r>
    </w:p>
    <w:p w14:paraId="1D1858F0" w14:textId="77777777" w:rsidR="00FB07EA" w:rsidRPr="00292224" w:rsidRDefault="00FB07EA" w:rsidP="00FB07EA">
      <w:pPr>
        <w:tabs>
          <w:tab w:val="left" w:pos="2925"/>
        </w:tabs>
        <w:jc w:val="both"/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Rashodi za nabavu nefinancijske imovine ostvareni su u iznosu od </w:t>
      </w:r>
      <w:r w:rsidR="00227CA3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</w:t>
      </w:r>
      <w:r w:rsidR="00227CA3">
        <w:rPr>
          <w:sz w:val="22"/>
          <w:szCs w:val="22"/>
          <w:lang w:val="hr-HR"/>
        </w:rPr>
        <w:t>251</w:t>
      </w:r>
      <w:r>
        <w:rPr>
          <w:sz w:val="22"/>
          <w:szCs w:val="22"/>
          <w:lang w:val="hr-HR"/>
        </w:rPr>
        <w:t>,</w:t>
      </w:r>
      <w:r w:rsidR="00227CA3">
        <w:rPr>
          <w:sz w:val="22"/>
          <w:szCs w:val="22"/>
          <w:lang w:val="hr-HR"/>
        </w:rPr>
        <w:t>85</w:t>
      </w:r>
      <w:r w:rsidRPr="00292224">
        <w:rPr>
          <w:sz w:val="22"/>
          <w:szCs w:val="22"/>
          <w:lang w:val="hr-HR"/>
        </w:rPr>
        <w:t xml:space="preserve"> </w:t>
      </w:r>
      <w:r w:rsidR="00227CA3"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. </w:t>
      </w:r>
      <w:r w:rsidR="00227CA3"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Za  potrebe  </w:t>
      </w:r>
      <w:r w:rsidR="00227CA3">
        <w:rPr>
          <w:sz w:val="22"/>
          <w:szCs w:val="22"/>
          <w:lang w:val="hr-HR"/>
        </w:rPr>
        <w:t>područnog</w:t>
      </w:r>
      <w:r>
        <w:rPr>
          <w:sz w:val="22"/>
          <w:szCs w:val="22"/>
          <w:lang w:val="hr-HR"/>
        </w:rPr>
        <w:t xml:space="preserve"> vrtića u </w:t>
      </w:r>
      <w:r w:rsidR="00227CA3">
        <w:rPr>
          <w:sz w:val="22"/>
          <w:szCs w:val="22"/>
          <w:lang w:val="hr-HR"/>
        </w:rPr>
        <w:t>Vrh</w:t>
      </w:r>
      <w:r>
        <w:rPr>
          <w:sz w:val="22"/>
          <w:szCs w:val="22"/>
          <w:lang w:val="hr-HR"/>
        </w:rPr>
        <w:t>u</w:t>
      </w:r>
      <w:r w:rsidRPr="00292224">
        <w:rPr>
          <w:sz w:val="22"/>
          <w:szCs w:val="22"/>
          <w:lang w:val="hr-HR"/>
        </w:rPr>
        <w:t xml:space="preserve"> nabavljen</w:t>
      </w:r>
      <w:r>
        <w:rPr>
          <w:sz w:val="22"/>
          <w:szCs w:val="22"/>
          <w:lang w:val="hr-HR"/>
        </w:rPr>
        <w:t xml:space="preserve"> je klima uređaj u iznosu 1</w:t>
      </w:r>
      <w:r w:rsidR="00227CA3">
        <w:rPr>
          <w:sz w:val="22"/>
          <w:szCs w:val="22"/>
          <w:lang w:val="hr-HR"/>
        </w:rPr>
        <w:t>.581</w:t>
      </w:r>
      <w:r>
        <w:rPr>
          <w:sz w:val="22"/>
          <w:szCs w:val="22"/>
          <w:lang w:val="hr-HR"/>
        </w:rPr>
        <w:t>,</w:t>
      </w:r>
      <w:r w:rsidR="00227CA3">
        <w:rPr>
          <w:sz w:val="22"/>
          <w:szCs w:val="22"/>
          <w:lang w:val="hr-HR"/>
        </w:rPr>
        <w:t>25 €</w:t>
      </w:r>
      <w:r>
        <w:rPr>
          <w:sz w:val="22"/>
          <w:szCs w:val="22"/>
          <w:lang w:val="hr-HR"/>
        </w:rPr>
        <w:t xml:space="preserve"> , za područni vrtić Vrbnik nabavljen </w:t>
      </w:r>
      <w:r w:rsidR="00227CA3">
        <w:rPr>
          <w:sz w:val="22"/>
          <w:szCs w:val="22"/>
          <w:lang w:val="hr-HR"/>
        </w:rPr>
        <w:t>je</w:t>
      </w:r>
      <w:r>
        <w:rPr>
          <w:sz w:val="22"/>
          <w:szCs w:val="22"/>
          <w:lang w:val="hr-HR"/>
        </w:rPr>
        <w:t xml:space="preserve"> </w:t>
      </w:r>
      <w:r w:rsidR="00227CA3">
        <w:rPr>
          <w:sz w:val="22"/>
          <w:szCs w:val="22"/>
          <w:lang w:val="hr-HR"/>
        </w:rPr>
        <w:t xml:space="preserve">svijetleći stol </w:t>
      </w:r>
      <w:r>
        <w:rPr>
          <w:sz w:val="22"/>
          <w:szCs w:val="22"/>
          <w:lang w:val="hr-HR"/>
        </w:rPr>
        <w:t xml:space="preserve"> u iznosu </w:t>
      </w:r>
      <w:r w:rsidR="00227CA3">
        <w:rPr>
          <w:sz w:val="22"/>
          <w:szCs w:val="22"/>
          <w:lang w:val="hr-HR"/>
        </w:rPr>
        <w:t>927</w:t>
      </w:r>
      <w:r>
        <w:rPr>
          <w:sz w:val="22"/>
          <w:szCs w:val="22"/>
          <w:lang w:val="hr-HR"/>
        </w:rPr>
        <w:t xml:space="preserve">.00 </w:t>
      </w:r>
      <w:r w:rsidR="00227CA3">
        <w:rPr>
          <w:sz w:val="22"/>
          <w:szCs w:val="22"/>
          <w:lang w:val="hr-HR"/>
        </w:rPr>
        <w:t>€,</w:t>
      </w:r>
      <w:r>
        <w:rPr>
          <w:sz w:val="22"/>
          <w:szCs w:val="22"/>
          <w:lang w:val="hr-HR"/>
        </w:rPr>
        <w:t xml:space="preserve"> za područni vrtić </w:t>
      </w:r>
      <w:r w:rsidR="00227CA3">
        <w:rPr>
          <w:sz w:val="22"/>
          <w:szCs w:val="22"/>
          <w:lang w:val="hr-HR"/>
        </w:rPr>
        <w:t>Punat</w:t>
      </w:r>
      <w:r>
        <w:rPr>
          <w:sz w:val="22"/>
          <w:szCs w:val="22"/>
          <w:lang w:val="hr-HR"/>
        </w:rPr>
        <w:t xml:space="preserve"> nabavljen je </w:t>
      </w:r>
      <w:r w:rsidR="00227CA3">
        <w:rPr>
          <w:sz w:val="22"/>
          <w:szCs w:val="22"/>
          <w:lang w:val="hr-HR"/>
        </w:rPr>
        <w:t xml:space="preserve"> ormarić za plinske boce te u matičnom vrtiću nabavljen je printer.</w:t>
      </w:r>
      <w:r>
        <w:rPr>
          <w:sz w:val="22"/>
          <w:szCs w:val="22"/>
          <w:lang w:val="hr-HR"/>
        </w:rPr>
        <w:t>.</w:t>
      </w:r>
    </w:p>
    <w:p w14:paraId="4A18A476" w14:textId="77777777" w:rsidR="00FB07EA" w:rsidRPr="00292224" w:rsidRDefault="00FB07EA" w:rsidP="00FB07EA">
      <w:pPr>
        <w:rPr>
          <w:sz w:val="22"/>
          <w:szCs w:val="22"/>
          <w:lang w:val="hr-HR"/>
        </w:rPr>
      </w:pPr>
    </w:p>
    <w:p w14:paraId="2E6A2254" w14:textId="77777777" w:rsidR="0026267A" w:rsidRPr="00292224" w:rsidRDefault="00811C57" w:rsidP="0026267A">
      <w:pPr>
        <w:contextualSpacing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X001</w:t>
      </w:r>
      <w:r w:rsidR="0026267A" w:rsidRPr="00292224">
        <w:rPr>
          <w:b/>
          <w:sz w:val="22"/>
          <w:szCs w:val="22"/>
          <w:lang w:val="hr-HR"/>
        </w:rPr>
        <w:t xml:space="preserve"> Višak prihoda poslovanja</w:t>
      </w:r>
    </w:p>
    <w:p w14:paraId="38B3B3BA" w14:textId="77777777" w:rsidR="0026267A" w:rsidRPr="00292224" w:rsidRDefault="0026267A" w:rsidP="0026267A">
      <w:pPr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>U 202</w:t>
      </w:r>
      <w:r w:rsidR="00227CA3">
        <w:rPr>
          <w:sz w:val="22"/>
          <w:szCs w:val="22"/>
          <w:lang w:val="hr-HR"/>
        </w:rPr>
        <w:t>3</w:t>
      </w:r>
      <w:r w:rsidRPr="00292224">
        <w:rPr>
          <w:sz w:val="22"/>
          <w:szCs w:val="22"/>
          <w:lang w:val="hr-HR"/>
        </w:rPr>
        <w:t xml:space="preserve">. godini ostvaren je višak prihoda poslovanja u iznosu od </w:t>
      </w:r>
      <w:r w:rsidR="00227CA3">
        <w:rPr>
          <w:sz w:val="22"/>
          <w:szCs w:val="22"/>
          <w:lang w:val="hr-HR"/>
        </w:rPr>
        <w:t>61</w:t>
      </w:r>
      <w:r w:rsidR="00811C57">
        <w:rPr>
          <w:sz w:val="22"/>
          <w:szCs w:val="22"/>
          <w:lang w:val="hr-HR"/>
        </w:rPr>
        <w:t>.</w:t>
      </w:r>
      <w:r w:rsidR="00227CA3">
        <w:rPr>
          <w:sz w:val="22"/>
          <w:szCs w:val="22"/>
          <w:lang w:val="hr-HR"/>
        </w:rPr>
        <w:t>560</w:t>
      </w:r>
      <w:r w:rsidRPr="00292224">
        <w:rPr>
          <w:sz w:val="22"/>
          <w:szCs w:val="22"/>
          <w:lang w:val="hr-HR"/>
        </w:rPr>
        <w:t>,</w:t>
      </w:r>
      <w:r w:rsidR="00227CA3">
        <w:rPr>
          <w:sz w:val="22"/>
          <w:szCs w:val="22"/>
          <w:lang w:val="hr-HR"/>
        </w:rPr>
        <w:t>97</w:t>
      </w:r>
      <w:r w:rsidRPr="00292224">
        <w:rPr>
          <w:sz w:val="22"/>
          <w:szCs w:val="22"/>
          <w:lang w:val="hr-HR"/>
        </w:rPr>
        <w:t xml:space="preserve"> </w:t>
      </w:r>
      <w:r w:rsidR="00227CA3"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, </w:t>
      </w:r>
      <w:r w:rsidR="00227CA3">
        <w:rPr>
          <w:sz w:val="22"/>
          <w:szCs w:val="22"/>
          <w:lang w:val="hr-HR"/>
        </w:rPr>
        <w:t xml:space="preserve">dok </w:t>
      </w:r>
      <w:r w:rsidRPr="00292224">
        <w:rPr>
          <w:sz w:val="22"/>
          <w:szCs w:val="22"/>
          <w:lang w:val="hr-HR"/>
        </w:rPr>
        <w:t xml:space="preserve"> prenese</w:t>
      </w:r>
      <w:r w:rsidR="00227CA3">
        <w:rPr>
          <w:sz w:val="22"/>
          <w:szCs w:val="22"/>
          <w:lang w:val="hr-HR"/>
        </w:rPr>
        <w:t>ni</w:t>
      </w:r>
      <w:r w:rsidRPr="00292224">
        <w:rPr>
          <w:sz w:val="22"/>
          <w:szCs w:val="22"/>
          <w:lang w:val="hr-HR"/>
        </w:rPr>
        <w:t xml:space="preserve"> viš</w:t>
      </w:r>
      <w:r w:rsidR="00227CA3">
        <w:rPr>
          <w:sz w:val="22"/>
          <w:szCs w:val="22"/>
          <w:lang w:val="hr-HR"/>
        </w:rPr>
        <w:t xml:space="preserve">ak </w:t>
      </w:r>
      <w:r w:rsidRPr="00292224">
        <w:rPr>
          <w:sz w:val="22"/>
          <w:szCs w:val="22"/>
          <w:lang w:val="hr-HR"/>
        </w:rPr>
        <w:t>poslovanja  iznos</w:t>
      </w:r>
      <w:r w:rsidR="00227CA3">
        <w:rPr>
          <w:sz w:val="22"/>
          <w:szCs w:val="22"/>
          <w:lang w:val="hr-HR"/>
        </w:rPr>
        <w:t>i</w:t>
      </w:r>
      <w:r w:rsidRPr="00292224">
        <w:rPr>
          <w:sz w:val="22"/>
          <w:szCs w:val="22"/>
          <w:lang w:val="hr-HR"/>
        </w:rPr>
        <w:t xml:space="preserve"> </w:t>
      </w:r>
      <w:r w:rsidR="00227CA3">
        <w:rPr>
          <w:sz w:val="22"/>
          <w:szCs w:val="22"/>
          <w:lang w:val="hr-HR"/>
        </w:rPr>
        <w:t>469,68</w:t>
      </w:r>
      <w:r w:rsidRPr="00292224">
        <w:rPr>
          <w:sz w:val="22"/>
          <w:szCs w:val="22"/>
          <w:lang w:val="hr-HR"/>
        </w:rPr>
        <w:t xml:space="preserve"> </w:t>
      </w:r>
      <w:r w:rsidR="00227CA3"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 i </w:t>
      </w:r>
      <w:r w:rsidR="00811C57">
        <w:rPr>
          <w:sz w:val="22"/>
          <w:szCs w:val="22"/>
          <w:lang w:val="hr-HR"/>
        </w:rPr>
        <w:t xml:space="preserve">biti </w:t>
      </w:r>
      <w:r w:rsidR="00227CA3">
        <w:rPr>
          <w:sz w:val="22"/>
          <w:szCs w:val="22"/>
          <w:lang w:val="hr-HR"/>
        </w:rPr>
        <w:t xml:space="preserve">će </w:t>
      </w:r>
      <w:r w:rsidR="00811C57">
        <w:rPr>
          <w:sz w:val="22"/>
          <w:szCs w:val="22"/>
          <w:lang w:val="hr-HR"/>
        </w:rPr>
        <w:t>utrošen u slijedećem ra</w:t>
      </w:r>
      <w:r w:rsidR="00681072">
        <w:rPr>
          <w:sz w:val="22"/>
          <w:szCs w:val="22"/>
          <w:lang w:val="hr-HR"/>
        </w:rPr>
        <w:t xml:space="preserve">zdoblju za isplatu </w:t>
      </w:r>
      <w:r w:rsidR="00227CA3">
        <w:rPr>
          <w:sz w:val="22"/>
          <w:szCs w:val="22"/>
          <w:lang w:val="hr-HR"/>
        </w:rPr>
        <w:t>plaće</w:t>
      </w:r>
      <w:r w:rsidR="00681072">
        <w:rPr>
          <w:sz w:val="22"/>
          <w:szCs w:val="22"/>
          <w:lang w:val="hr-HR"/>
        </w:rPr>
        <w:t xml:space="preserve"> radnicima.</w:t>
      </w:r>
    </w:p>
    <w:p w14:paraId="6102BDC9" w14:textId="77777777" w:rsidR="0026267A" w:rsidRDefault="0026267A" w:rsidP="0026267A">
      <w:pPr>
        <w:rPr>
          <w:rFonts w:ascii="Calibri" w:hAnsi="Calibri"/>
          <w:b/>
          <w:sz w:val="22"/>
          <w:szCs w:val="22"/>
        </w:rPr>
      </w:pPr>
    </w:p>
    <w:p w14:paraId="4137B258" w14:textId="77777777" w:rsidR="00681072" w:rsidRDefault="00681072" w:rsidP="00681072">
      <w:pPr>
        <w:contextualSpacing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Y002 Manjak prihoda od nefinancijske imovine</w:t>
      </w:r>
    </w:p>
    <w:p w14:paraId="10C1AA25" w14:textId="77777777" w:rsidR="00681072" w:rsidRPr="00292224" w:rsidRDefault="00681072" w:rsidP="00681072">
      <w:pPr>
        <w:contextualSpacing/>
        <w:rPr>
          <w:b/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>U 202</w:t>
      </w:r>
      <w:r w:rsidR="00227CA3">
        <w:rPr>
          <w:sz w:val="22"/>
          <w:szCs w:val="22"/>
          <w:lang w:val="hr-HR"/>
        </w:rPr>
        <w:t>3</w:t>
      </w:r>
      <w:r w:rsidRPr="00292224">
        <w:rPr>
          <w:sz w:val="22"/>
          <w:szCs w:val="22"/>
          <w:lang w:val="hr-HR"/>
        </w:rPr>
        <w:t xml:space="preserve">. godini </w:t>
      </w:r>
      <w:r w:rsidR="00C23AFD">
        <w:rPr>
          <w:sz w:val="22"/>
          <w:szCs w:val="22"/>
          <w:lang w:val="hr-HR"/>
        </w:rPr>
        <w:t>je</w:t>
      </w:r>
      <w:r w:rsidR="00227CA3">
        <w:rPr>
          <w:sz w:val="22"/>
          <w:szCs w:val="22"/>
          <w:lang w:val="hr-HR"/>
        </w:rPr>
        <w:t xml:space="preserve"> ostvaren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manjak</w:t>
      </w:r>
      <w:r w:rsidR="00925E87">
        <w:rPr>
          <w:sz w:val="22"/>
          <w:szCs w:val="22"/>
          <w:lang w:val="hr-HR"/>
        </w:rPr>
        <w:t xml:space="preserve"> prihoda od nefinancijske imovine</w:t>
      </w:r>
      <w:r w:rsidRPr="00292224">
        <w:rPr>
          <w:sz w:val="22"/>
          <w:szCs w:val="22"/>
          <w:lang w:val="hr-HR"/>
        </w:rPr>
        <w:t xml:space="preserve"> u iznosu od </w:t>
      </w:r>
      <w:r w:rsidR="00C23AFD">
        <w:rPr>
          <w:sz w:val="22"/>
          <w:szCs w:val="22"/>
          <w:lang w:val="hr-HR"/>
        </w:rPr>
        <w:t>4</w:t>
      </w:r>
      <w:r w:rsidR="00925E87">
        <w:rPr>
          <w:sz w:val="22"/>
          <w:szCs w:val="22"/>
          <w:lang w:val="hr-HR"/>
        </w:rPr>
        <w:t>.</w:t>
      </w:r>
      <w:r w:rsidR="00C23AFD">
        <w:rPr>
          <w:sz w:val="22"/>
          <w:szCs w:val="22"/>
          <w:lang w:val="hr-HR"/>
        </w:rPr>
        <w:t>251</w:t>
      </w:r>
      <w:r w:rsidRPr="00292224">
        <w:rPr>
          <w:sz w:val="22"/>
          <w:szCs w:val="22"/>
          <w:lang w:val="hr-HR"/>
        </w:rPr>
        <w:t>,</w:t>
      </w:r>
      <w:r w:rsidR="00C23AFD">
        <w:rPr>
          <w:sz w:val="22"/>
          <w:szCs w:val="22"/>
          <w:lang w:val="hr-HR"/>
        </w:rPr>
        <w:t>8</w:t>
      </w:r>
      <w:r w:rsidR="00925E87">
        <w:rPr>
          <w:sz w:val="22"/>
          <w:szCs w:val="22"/>
          <w:lang w:val="hr-HR"/>
        </w:rPr>
        <w:t>5</w:t>
      </w:r>
      <w:r w:rsidRPr="00292224">
        <w:rPr>
          <w:sz w:val="22"/>
          <w:szCs w:val="22"/>
          <w:lang w:val="hr-HR"/>
        </w:rPr>
        <w:t xml:space="preserve"> </w:t>
      </w:r>
      <w:r w:rsidR="00C23AFD">
        <w:rPr>
          <w:sz w:val="22"/>
          <w:szCs w:val="22"/>
          <w:lang w:val="hr-HR"/>
        </w:rPr>
        <w:t>€.</w:t>
      </w:r>
    </w:p>
    <w:p w14:paraId="70A90E8D" w14:textId="77777777" w:rsidR="00681072" w:rsidRPr="00292224" w:rsidRDefault="00681072" w:rsidP="0026267A">
      <w:pPr>
        <w:rPr>
          <w:rFonts w:ascii="Calibri" w:hAnsi="Calibri"/>
          <w:b/>
          <w:sz w:val="22"/>
          <w:szCs w:val="22"/>
        </w:rPr>
      </w:pPr>
    </w:p>
    <w:p w14:paraId="20A03182" w14:textId="77777777" w:rsidR="00430547" w:rsidRPr="00430547" w:rsidRDefault="00EB493B" w:rsidP="00430547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X004</w:t>
      </w:r>
      <w:r w:rsidR="00FB07EA">
        <w:rPr>
          <w:b/>
          <w:sz w:val="22"/>
          <w:szCs w:val="22"/>
          <w:lang w:val="hr-HR"/>
        </w:rPr>
        <w:t xml:space="preserve"> Ukupan višak prihoda </w:t>
      </w:r>
    </w:p>
    <w:p w14:paraId="3C980C7D" w14:textId="77777777" w:rsidR="00C872F9" w:rsidRDefault="0063424F" w:rsidP="00430547">
      <w:pPr>
        <w:tabs>
          <w:tab w:val="left" w:pos="2925"/>
        </w:tabs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Ukupav</w:t>
      </w:r>
      <w:proofErr w:type="spellEnd"/>
      <w:r>
        <w:rPr>
          <w:sz w:val="22"/>
          <w:szCs w:val="22"/>
          <w:lang w:val="hr-HR"/>
        </w:rPr>
        <w:t xml:space="preserve"> v</w:t>
      </w:r>
      <w:r w:rsidR="00DB08B3">
        <w:rPr>
          <w:sz w:val="22"/>
          <w:szCs w:val="22"/>
          <w:lang w:val="hr-HR"/>
        </w:rPr>
        <w:t>išak prihoda i primitaka</w:t>
      </w:r>
      <w:r w:rsidR="00430547" w:rsidRPr="00430547">
        <w:rPr>
          <w:sz w:val="22"/>
          <w:szCs w:val="22"/>
          <w:lang w:val="hr-HR"/>
        </w:rPr>
        <w:t xml:space="preserve"> sastoji se od prenesenog viška prihoda u iznosu od </w:t>
      </w:r>
      <w:r w:rsidR="0043229C">
        <w:rPr>
          <w:sz w:val="22"/>
          <w:szCs w:val="22"/>
          <w:lang w:val="hr-HR"/>
        </w:rPr>
        <w:t>469</w:t>
      </w:r>
      <w:r w:rsidR="0072771C">
        <w:rPr>
          <w:sz w:val="22"/>
          <w:szCs w:val="22"/>
          <w:lang w:val="hr-HR"/>
        </w:rPr>
        <w:t>,</w:t>
      </w:r>
      <w:r w:rsidR="0043229C">
        <w:rPr>
          <w:sz w:val="22"/>
          <w:szCs w:val="22"/>
          <w:lang w:val="hr-HR"/>
        </w:rPr>
        <w:t>68</w:t>
      </w:r>
      <w:r w:rsidR="007C75D0">
        <w:rPr>
          <w:sz w:val="22"/>
          <w:szCs w:val="22"/>
          <w:lang w:val="hr-HR"/>
        </w:rPr>
        <w:t xml:space="preserve"> </w:t>
      </w:r>
      <w:r w:rsidR="0043229C">
        <w:rPr>
          <w:sz w:val="22"/>
          <w:szCs w:val="22"/>
          <w:lang w:val="hr-HR"/>
        </w:rPr>
        <w:t>€</w:t>
      </w:r>
      <w:r w:rsidR="00DB08B3">
        <w:rPr>
          <w:sz w:val="22"/>
          <w:szCs w:val="22"/>
          <w:lang w:val="hr-HR"/>
        </w:rPr>
        <w:t xml:space="preserve"> koji </w:t>
      </w:r>
      <w:r w:rsidR="0072771C">
        <w:rPr>
          <w:sz w:val="22"/>
          <w:szCs w:val="22"/>
          <w:lang w:val="hr-HR"/>
        </w:rPr>
        <w:t>je</w:t>
      </w:r>
      <w:r w:rsidR="00A75C89" w:rsidRPr="00B87ACE">
        <w:rPr>
          <w:sz w:val="22"/>
          <w:szCs w:val="22"/>
        </w:rPr>
        <w:t xml:space="preserve"> </w:t>
      </w:r>
      <w:proofErr w:type="spellStart"/>
      <w:r w:rsidR="00DB08B3">
        <w:rPr>
          <w:sz w:val="22"/>
          <w:szCs w:val="22"/>
        </w:rPr>
        <w:t>dobiven</w:t>
      </w:r>
      <w:proofErr w:type="spellEnd"/>
      <w:r w:rsidR="00DB08B3">
        <w:rPr>
          <w:sz w:val="22"/>
          <w:szCs w:val="22"/>
        </w:rPr>
        <w:t xml:space="preserve"> od HZZ-a  </w:t>
      </w:r>
      <w:proofErr w:type="spellStart"/>
      <w:r w:rsidR="00DB08B3">
        <w:rPr>
          <w:sz w:val="22"/>
          <w:szCs w:val="22"/>
        </w:rPr>
        <w:t>i</w:t>
      </w:r>
      <w:proofErr w:type="spellEnd"/>
      <w:r w:rsidR="00DB08B3">
        <w:rPr>
          <w:sz w:val="22"/>
          <w:szCs w:val="22"/>
        </w:rPr>
        <w:t xml:space="preserve"> </w:t>
      </w:r>
      <w:proofErr w:type="spellStart"/>
      <w:r w:rsidR="00DB08B3">
        <w:rPr>
          <w:sz w:val="22"/>
          <w:szCs w:val="22"/>
        </w:rPr>
        <w:t>viška</w:t>
      </w:r>
      <w:proofErr w:type="spellEnd"/>
      <w:r w:rsidR="00DB08B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r w:rsidR="0043229C">
        <w:rPr>
          <w:sz w:val="22"/>
          <w:szCs w:val="22"/>
        </w:rPr>
        <w:t>61.560,97 €</w:t>
      </w:r>
      <w:r>
        <w:rPr>
          <w:sz w:val="22"/>
          <w:szCs w:val="22"/>
        </w:rPr>
        <w:t xml:space="preserve"> kn te umanjen za manjak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r w:rsidR="0043229C">
        <w:rPr>
          <w:sz w:val="22"/>
          <w:szCs w:val="22"/>
        </w:rPr>
        <w:t>4.251,85 €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</w:t>
      </w:r>
      <w:r w:rsidR="0043229C">
        <w:rPr>
          <w:sz w:val="22"/>
          <w:szCs w:val="22"/>
        </w:rPr>
        <w:t>57</w:t>
      </w:r>
      <w:r>
        <w:rPr>
          <w:sz w:val="22"/>
          <w:szCs w:val="22"/>
        </w:rPr>
        <w:t>.</w:t>
      </w:r>
      <w:r w:rsidR="0043229C">
        <w:rPr>
          <w:sz w:val="22"/>
          <w:szCs w:val="22"/>
        </w:rPr>
        <w:t>309</w:t>
      </w:r>
      <w:r>
        <w:rPr>
          <w:sz w:val="22"/>
          <w:szCs w:val="22"/>
        </w:rPr>
        <w:t>,</w:t>
      </w:r>
      <w:r w:rsidR="0043229C">
        <w:rPr>
          <w:sz w:val="22"/>
          <w:szCs w:val="22"/>
        </w:rPr>
        <w:t>12 €</w:t>
      </w:r>
      <w:r>
        <w:rPr>
          <w:sz w:val="22"/>
          <w:szCs w:val="22"/>
        </w:rPr>
        <w:t>.</w:t>
      </w:r>
    </w:p>
    <w:p w14:paraId="3023DD18" w14:textId="77777777" w:rsidR="00D8221C" w:rsidRDefault="00D8221C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6AE5B8B5" w14:textId="77777777" w:rsidR="007C75D0" w:rsidRDefault="007C75D0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09EBF38A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3BEAAB4E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34BAB5B0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79D8FF6B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14CBADF3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64DD0357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0DD60610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66B3450A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066C7770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0A2EBF42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3E6C09F6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51C70B0B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5BFF7551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724499D6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4CCE98C8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2CC81C2E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13EDDD4A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274F2BC9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234F97F0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3F848477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59DA9E7F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32FF631A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0A89A4AE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4163288A" w14:textId="77777777" w:rsidR="00F5732F" w:rsidRDefault="00F5732F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5D7F5E95" w14:textId="77777777" w:rsidR="00B9687E" w:rsidRDefault="00B9687E" w:rsidP="00C872F9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7A5C5CE2" w14:textId="77777777" w:rsidR="00B9687E" w:rsidRDefault="00B9687E" w:rsidP="00B9687E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BILJEŠKE UZ OBRAZAC  OBVEZE</w:t>
      </w:r>
    </w:p>
    <w:p w14:paraId="44643360" w14:textId="77777777" w:rsidR="00B9687E" w:rsidRDefault="00B9687E" w:rsidP="00B9687E">
      <w:pPr>
        <w:pStyle w:val="Zaglavlje"/>
        <w:jc w:val="both"/>
        <w:rPr>
          <w:b/>
          <w:sz w:val="22"/>
          <w:szCs w:val="22"/>
          <w:lang w:val="hr-HR"/>
        </w:rPr>
      </w:pPr>
    </w:p>
    <w:p w14:paraId="5313CBA8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V001 Stanje obveza na početku izvještajnog razdoblja</w:t>
      </w:r>
    </w:p>
    <w:p w14:paraId="3978C772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Stanje obveza na početku izvještajnog razdoblja iznosi </w:t>
      </w:r>
      <w:r w:rsidR="00585A7A">
        <w:rPr>
          <w:sz w:val="22"/>
          <w:szCs w:val="22"/>
          <w:lang w:val="hr-HR"/>
        </w:rPr>
        <w:t>281.116</w:t>
      </w:r>
      <w:r>
        <w:rPr>
          <w:sz w:val="22"/>
          <w:szCs w:val="22"/>
          <w:lang w:val="hr-HR"/>
        </w:rPr>
        <w:t>,</w:t>
      </w:r>
      <w:r w:rsidR="00585A7A">
        <w:rPr>
          <w:sz w:val="22"/>
          <w:szCs w:val="22"/>
          <w:lang w:val="hr-HR"/>
        </w:rPr>
        <w:t>18</w:t>
      </w:r>
      <w:r>
        <w:rPr>
          <w:sz w:val="22"/>
          <w:szCs w:val="22"/>
          <w:lang w:val="hr-HR"/>
        </w:rPr>
        <w:t xml:space="preserve"> </w:t>
      </w:r>
      <w:r w:rsidR="00585A7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i podmirene su u siječnju 202</w:t>
      </w:r>
      <w:r w:rsidR="00585A7A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godine, a odnose se na obveze za zaposlene.</w:t>
      </w:r>
    </w:p>
    <w:p w14:paraId="69882AF7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27E53BAB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202EE537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V002 Povećanje obveza u izvještajnog razdoblja</w:t>
      </w:r>
    </w:p>
    <w:p w14:paraId="421C3D81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Povećanje obveza  izvještajnog razdoblja  iznosi 1.</w:t>
      </w:r>
      <w:r w:rsidR="00585A7A">
        <w:rPr>
          <w:sz w:val="22"/>
          <w:szCs w:val="22"/>
          <w:lang w:val="hr-HR"/>
        </w:rPr>
        <w:t>659</w:t>
      </w:r>
      <w:r>
        <w:rPr>
          <w:sz w:val="22"/>
          <w:szCs w:val="22"/>
          <w:lang w:val="hr-HR"/>
        </w:rPr>
        <w:t>.</w:t>
      </w:r>
      <w:r w:rsidR="00585A7A">
        <w:rPr>
          <w:sz w:val="22"/>
          <w:szCs w:val="22"/>
          <w:lang w:val="hr-HR"/>
        </w:rPr>
        <w:t>849</w:t>
      </w:r>
      <w:r>
        <w:rPr>
          <w:sz w:val="22"/>
          <w:szCs w:val="22"/>
          <w:lang w:val="hr-HR"/>
        </w:rPr>
        <w:t>,</w:t>
      </w:r>
      <w:r w:rsidR="00585A7A">
        <w:rPr>
          <w:sz w:val="22"/>
          <w:szCs w:val="22"/>
          <w:lang w:val="hr-HR"/>
        </w:rPr>
        <w:t>24</w:t>
      </w:r>
      <w:r>
        <w:rPr>
          <w:sz w:val="22"/>
          <w:szCs w:val="22"/>
          <w:lang w:val="hr-HR"/>
        </w:rPr>
        <w:t xml:space="preserve"> </w:t>
      </w:r>
      <w:r w:rsidR="00585A7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. Sastoji se od  obveze za rashode poslovanja u iznosu 1.</w:t>
      </w:r>
      <w:r w:rsidR="00585A7A">
        <w:rPr>
          <w:sz w:val="22"/>
          <w:szCs w:val="22"/>
          <w:lang w:val="hr-HR"/>
        </w:rPr>
        <w:t>655</w:t>
      </w:r>
      <w:r>
        <w:rPr>
          <w:sz w:val="22"/>
          <w:szCs w:val="22"/>
          <w:lang w:val="hr-HR"/>
        </w:rPr>
        <w:t>.</w:t>
      </w:r>
      <w:r w:rsidR="00585A7A">
        <w:rPr>
          <w:sz w:val="22"/>
          <w:szCs w:val="22"/>
          <w:lang w:val="hr-HR"/>
        </w:rPr>
        <w:t>597</w:t>
      </w:r>
      <w:r>
        <w:rPr>
          <w:sz w:val="22"/>
          <w:szCs w:val="22"/>
          <w:lang w:val="hr-HR"/>
        </w:rPr>
        <w:t>,</w:t>
      </w:r>
      <w:r w:rsidR="00585A7A">
        <w:rPr>
          <w:sz w:val="22"/>
          <w:szCs w:val="22"/>
          <w:lang w:val="hr-HR"/>
        </w:rPr>
        <w:t>89</w:t>
      </w:r>
      <w:r>
        <w:rPr>
          <w:sz w:val="22"/>
          <w:szCs w:val="22"/>
          <w:lang w:val="hr-HR"/>
        </w:rPr>
        <w:t xml:space="preserve"> </w:t>
      </w:r>
      <w:r w:rsidR="00585A7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( šifra N23 ) i obveze za nabavu nefinancijske imovine ( šifra N24) u iznosu </w:t>
      </w:r>
      <w:r w:rsidR="00585A7A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</w:t>
      </w:r>
      <w:r w:rsidR="00585A7A">
        <w:rPr>
          <w:sz w:val="22"/>
          <w:szCs w:val="22"/>
          <w:lang w:val="hr-HR"/>
        </w:rPr>
        <w:t>251</w:t>
      </w:r>
      <w:r>
        <w:rPr>
          <w:sz w:val="22"/>
          <w:szCs w:val="22"/>
          <w:lang w:val="hr-HR"/>
        </w:rPr>
        <w:t>,</w:t>
      </w:r>
      <w:r w:rsidR="00585A7A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5 </w:t>
      </w:r>
      <w:r w:rsidR="00585A7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.</w:t>
      </w:r>
    </w:p>
    <w:p w14:paraId="5070657D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02F24E45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V004 Podmirene obveze u izvještajnom razdoblju</w:t>
      </w:r>
    </w:p>
    <w:p w14:paraId="24B16916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Podmirene obveze u izvještajnom razdoblju iznose 1.</w:t>
      </w:r>
      <w:r w:rsidR="00E577E1">
        <w:rPr>
          <w:sz w:val="22"/>
          <w:szCs w:val="22"/>
          <w:lang w:val="hr-HR"/>
        </w:rPr>
        <w:t>698</w:t>
      </w:r>
      <w:r>
        <w:rPr>
          <w:sz w:val="22"/>
          <w:szCs w:val="22"/>
          <w:lang w:val="hr-HR"/>
        </w:rPr>
        <w:t>.</w:t>
      </w:r>
      <w:r w:rsidR="00E577E1">
        <w:rPr>
          <w:sz w:val="22"/>
          <w:szCs w:val="22"/>
          <w:lang w:val="hr-HR"/>
        </w:rPr>
        <w:t>925</w:t>
      </w:r>
      <w:r>
        <w:rPr>
          <w:sz w:val="22"/>
          <w:szCs w:val="22"/>
          <w:lang w:val="hr-HR"/>
        </w:rPr>
        <w:t>,</w:t>
      </w:r>
      <w:r w:rsidR="00E577E1">
        <w:rPr>
          <w:sz w:val="22"/>
          <w:szCs w:val="22"/>
          <w:lang w:val="hr-HR"/>
        </w:rPr>
        <w:t>71</w:t>
      </w:r>
      <w:r>
        <w:rPr>
          <w:sz w:val="22"/>
          <w:szCs w:val="22"/>
          <w:lang w:val="hr-HR"/>
        </w:rPr>
        <w:t xml:space="preserve"> </w:t>
      </w:r>
      <w:r w:rsidR="00E577E1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a odnose se na obveze za zaposlene u iznosu </w:t>
      </w:r>
      <w:r w:rsidR="00E577E1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</w:t>
      </w:r>
      <w:r w:rsidR="00E577E1">
        <w:rPr>
          <w:sz w:val="22"/>
          <w:szCs w:val="22"/>
          <w:lang w:val="hr-HR"/>
        </w:rPr>
        <w:t>694</w:t>
      </w:r>
      <w:r>
        <w:rPr>
          <w:sz w:val="22"/>
          <w:szCs w:val="22"/>
          <w:lang w:val="hr-HR"/>
        </w:rPr>
        <w:t>.</w:t>
      </w:r>
      <w:r w:rsidR="00E577E1">
        <w:rPr>
          <w:sz w:val="22"/>
          <w:szCs w:val="22"/>
          <w:lang w:val="hr-HR"/>
        </w:rPr>
        <w:t>674</w:t>
      </w:r>
      <w:r>
        <w:rPr>
          <w:sz w:val="22"/>
          <w:szCs w:val="22"/>
          <w:lang w:val="hr-HR"/>
        </w:rPr>
        <w:t>,</w:t>
      </w:r>
      <w:r w:rsidR="00E577E1">
        <w:rPr>
          <w:sz w:val="22"/>
          <w:szCs w:val="22"/>
          <w:lang w:val="hr-HR"/>
        </w:rPr>
        <w:t>36</w:t>
      </w:r>
      <w:r>
        <w:rPr>
          <w:sz w:val="22"/>
          <w:szCs w:val="22"/>
          <w:lang w:val="hr-HR"/>
        </w:rPr>
        <w:t xml:space="preserve"> </w:t>
      </w:r>
      <w:r w:rsidR="00E577E1">
        <w:rPr>
          <w:sz w:val="22"/>
          <w:szCs w:val="22"/>
          <w:lang w:val="hr-HR"/>
        </w:rPr>
        <w:t>€ (šifra P23)</w:t>
      </w:r>
      <w:r>
        <w:rPr>
          <w:sz w:val="22"/>
          <w:szCs w:val="22"/>
          <w:lang w:val="hr-HR"/>
        </w:rPr>
        <w:t xml:space="preserve">,  te obveze za financijske rashode u iznosu od </w:t>
      </w:r>
      <w:r w:rsidR="00E577E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</w:t>
      </w:r>
      <w:r w:rsidR="00E577E1">
        <w:rPr>
          <w:sz w:val="22"/>
          <w:szCs w:val="22"/>
          <w:lang w:val="hr-HR"/>
        </w:rPr>
        <w:t>251</w:t>
      </w:r>
      <w:r>
        <w:rPr>
          <w:sz w:val="22"/>
          <w:szCs w:val="22"/>
          <w:lang w:val="hr-HR"/>
        </w:rPr>
        <w:t>,</w:t>
      </w:r>
      <w:r w:rsidR="00E577E1">
        <w:rPr>
          <w:sz w:val="22"/>
          <w:szCs w:val="22"/>
          <w:lang w:val="hr-HR"/>
        </w:rPr>
        <w:t>35 € (šifra P24)</w:t>
      </w:r>
      <w:r>
        <w:rPr>
          <w:sz w:val="22"/>
          <w:szCs w:val="22"/>
          <w:lang w:val="hr-HR"/>
        </w:rPr>
        <w:t>.</w:t>
      </w:r>
    </w:p>
    <w:p w14:paraId="4519376D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7370378C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Šifra P239 Ostale tekuće obveze </w:t>
      </w:r>
    </w:p>
    <w:p w14:paraId="330FE5BA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Iznos ostalih tekućih obveza iznosi </w:t>
      </w:r>
      <w:r w:rsidR="00A215B3">
        <w:rPr>
          <w:sz w:val="22"/>
          <w:szCs w:val="22"/>
          <w:lang w:val="hr-HR"/>
        </w:rPr>
        <w:t>50.966</w:t>
      </w:r>
      <w:r>
        <w:rPr>
          <w:sz w:val="22"/>
          <w:szCs w:val="22"/>
          <w:lang w:val="hr-HR"/>
        </w:rPr>
        <w:t>,</w:t>
      </w:r>
      <w:r w:rsidR="00A215B3">
        <w:rPr>
          <w:sz w:val="22"/>
          <w:szCs w:val="22"/>
          <w:lang w:val="hr-HR"/>
        </w:rPr>
        <w:t>03</w:t>
      </w:r>
      <w:r>
        <w:rPr>
          <w:sz w:val="22"/>
          <w:szCs w:val="22"/>
          <w:lang w:val="hr-HR"/>
        </w:rPr>
        <w:t xml:space="preserve"> </w:t>
      </w:r>
      <w:r w:rsidR="00A215B3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i odnosi se na obvezu proračunskog korisnika za povrat u proračun.</w:t>
      </w:r>
    </w:p>
    <w:p w14:paraId="03ECF1C2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34034325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P24 Obveze za nabavu nefinancijske imovine</w:t>
      </w:r>
    </w:p>
    <w:p w14:paraId="7C33A799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Nefinancijska imovina nabavljena je u vrijednosti </w:t>
      </w:r>
      <w:r w:rsidR="004C35E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</w:t>
      </w:r>
      <w:r w:rsidR="004C35E9">
        <w:rPr>
          <w:sz w:val="22"/>
          <w:szCs w:val="22"/>
          <w:lang w:val="hr-HR"/>
        </w:rPr>
        <w:t>251</w:t>
      </w:r>
      <w:r>
        <w:rPr>
          <w:sz w:val="22"/>
          <w:szCs w:val="22"/>
          <w:lang w:val="hr-HR"/>
        </w:rPr>
        <w:t>,</w:t>
      </w:r>
      <w:r w:rsidR="004C35E9">
        <w:rPr>
          <w:sz w:val="22"/>
          <w:szCs w:val="22"/>
          <w:lang w:val="hr-HR"/>
        </w:rPr>
        <w:t>35</w:t>
      </w:r>
      <w:r>
        <w:rPr>
          <w:sz w:val="22"/>
          <w:szCs w:val="22"/>
          <w:lang w:val="hr-HR"/>
        </w:rPr>
        <w:t xml:space="preserve"> </w:t>
      </w:r>
      <w:r w:rsidR="004C35E9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i podmirena u cijelosti.</w:t>
      </w:r>
    </w:p>
    <w:p w14:paraId="64B18B85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0A425FBC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V006 Stanje obveza na kraju izvještajnog razdoblja</w:t>
      </w:r>
    </w:p>
    <w:p w14:paraId="2F5F70C9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Stanje obveza na kraju izvještajnog razdoblja iznosi </w:t>
      </w:r>
      <w:r w:rsidR="00500FBB">
        <w:rPr>
          <w:sz w:val="22"/>
          <w:szCs w:val="22"/>
          <w:lang w:val="hr-HR"/>
        </w:rPr>
        <w:t>242.039</w:t>
      </w:r>
      <w:r>
        <w:rPr>
          <w:sz w:val="22"/>
          <w:szCs w:val="22"/>
          <w:lang w:val="hr-HR"/>
        </w:rPr>
        <w:t>,</w:t>
      </w:r>
      <w:r w:rsidR="00500FBB">
        <w:rPr>
          <w:sz w:val="22"/>
          <w:szCs w:val="22"/>
          <w:lang w:val="hr-HR"/>
        </w:rPr>
        <w:t>71</w:t>
      </w:r>
      <w:r>
        <w:rPr>
          <w:sz w:val="22"/>
          <w:szCs w:val="22"/>
          <w:lang w:val="hr-HR"/>
        </w:rPr>
        <w:t xml:space="preserve"> </w:t>
      </w:r>
      <w:r w:rsidR="00500FBB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a odnosi se na obveze za zaposlene u iznosu od </w:t>
      </w:r>
      <w:r w:rsidR="00500FBB">
        <w:rPr>
          <w:sz w:val="22"/>
          <w:szCs w:val="22"/>
          <w:lang w:val="hr-HR"/>
        </w:rPr>
        <w:t>209.510,42</w:t>
      </w:r>
      <w:r>
        <w:rPr>
          <w:sz w:val="22"/>
          <w:szCs w:val="22"/>
          <w:lang w:val="hr-HR"/>
        </w:rPr>
        <w:t xml:space="preserve"> </w:t>
      </w:r>
      <w:r w:rsidR="00500FBB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odnosno plaće za lipanj 202</w:t>
      </w:r>
      <w:r w:rsidR="00500FBB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godine koja je isplaćena u srpnju 202</w:t>
      </w:r>
      <w:r w:rsidR="00500FBB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godine, obveze za materijalne rashode u iznosu </w:t>
      </w:r>
      <w:r w:rsidR="00500FBB">
        <w:rPr>
          <w:sz w:val="22"/>
          <w:szCs w:val="22"/>
          <w:lang w:val="hr-HR"/>
        </w:rPr>
        <w:t>32</w:t>
      </w:r>
      <w:r>
        <w:rPr>
          <w:sz w:val="22"/>
          <w:szCs w:val="22"/>
          <w:lang w:val="hr-HR"/>
        </w:rPr>
        <w:t>.</w:t>
      </w:r>
      <w:r w:rsidR="00500FBB">
        <w:rPr>
          <w:sz w:val="22"/>
          <w:szCs w:val="22"/>
          <w:lang w:val="hr-HR"/>
        </w:rPr>
        <w:t>19</w:t>
      </w:r>
      <w:r>
        <w:rPr>
          <w:sz w:val="22"/>
          <w:szCs w:val="22"/>
          <w:lang w:val="hr-HR"/>
        </w:rPr>
        <w:t>1,</w:t>
      </w:r>
      <w:r w:rsidR="00500FBB">
        <w:rPr>
          <w:sz w:val="22"/>
          <w:szCs w:val="22"/>
          <w:lang w:val="hr-HR"/>
        </w:rPr>
        <w:t>04</w:t>
      </w:r>
      <w:r>
        <w:rPr>
          <w:sz w:val="22"/>
          <w:szCs w:val="22"/>
          <w:lang w:val="hr-HR"/>
        </w:rPr>
        <w:t xml:space="preserve"> </w:t>
      </w:r>
      <w:r w:rsidR="00500FBB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odnosi se na plaćanje računa koji su primljeni i plaćeni u srpnju 202</w:t>
      </w:r>
      <w:r w:rsidR="00500FBB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godine  te obveza za financijske rashode u iznosu </w:t>
      </w:r>
      <w:r w:rsidR="00500FBB">
        <w:rPr>
          <w:sz w:val="22"/>
          <w:szCs w:val="22"/>
          <w:lang w:val="hr-HR"/>
        </w:rPr>
        <w:t>338</w:t>
      </w:r>
      <w:r>
        <w:rPr>
          <w:sz w:val="22"/>
          <w:szCs w:val="22"/>
          <w:lang w:val="hr-HR"/>
        </w:rPr>
        <w:t>,</w:t>
      </w:r>
      <w:r w:rsidR="00500FBB">
        <w:rPr>
          <w:sz w:val="22"/>
          <w:szCs w:val="22"/>
          <w:lang w:val="hr-HR"/>
        </w:rPr>
        <w:t>25</w:t>
      </w:r>
      <w:r>
        <w:rPr>
          <w:sz w:val="22"/>
          <w:szCs w:val="22"/>
          <w:lang w:val="hr-HR"/>
        </w:rPr>
        <w:t xml:space="preserve"> </w:t>
      </w:r>
      <w:r w:rsidR="00500FBB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odnose se na obveze za bankarske usluge.</w:t>
      </w:r>
    </w:p>
    <w:p w14:paraId="7B769F6A" w14:textId="77777777" w:rsidR="00B9687E" w:rsidRDefault="00B9687E" w:rsidP="00B9687E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10CEA1E4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Šifra V007 Stanje dospjelih obveza na kraju izvještajnog razdoblja</w:t>
      </w:r>
    </w:p>
    <w:p w14:paraId="62256F62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Dospjele obveze odnose se na obveze za materijalne rashode i iznose </w:t>
      </w:r>
      <w:r w:rsidR="00500FBB">
        <w:rPr>
          <w:sz w:val="22"/>
          <w:szCs w:val="22"/>
          <w:lang w:val="hr-HR"/>
        </w:rPr>
        <w:t>673</w:t>
      </w:r>
      <w:r>
        <w:rPr>
          <w:sz w:val="22"/>
          <w:szCs w:val="22"/>
          <w:lang w:val="hr-HR"/>
        </w:rPr>
        <w:t>,</w:t>
      </w:r>
      <w:r w:rsidR="00500FBB">
        <w:rPr>
          <w:sz w:val="22"/>
          <w:szCs w:val="22"/>
          <w:lang w:val="hr-HR"/>
        </w:rPr>
        <w:t>37</w:t>
      </w:r>
      <w:r>
        <w:rPr>
          <w:sz w:val="22"/>
          <w:szCs w:val="22"/>
          <w:lang w:val="hr-HR"/>
        </w:rPr>
        <w:t xml:space="preserve"> </w:t>
      </w:r>
      <w:r w:rsidR="00500FBB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.</w:t>
      </w:r>
    </w:p>
    <w:p w14:paraId="512EEE59" w14:textId="77777777" w:rsidR="00B9687E" w:rsidRDefault="00B9687E" w:rsidP="00B9687E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Obveze su prekoračene </w:t>
      </w:r>
      <w:r w:rsidR="006466F8">
        <w:rPr>
          <w:sz w:val="22"/>
          <w:szCs w:val="22"/>
          <w:lang w:val="hr-HR"/>
        </w:rPr>
        <w:t>16</w:t>
      </w:r>
      <w:r>
        <w:rPr>
          <w:sz w:val="22"/>
          <w:szCs w:val="22"/>
          <w:lang w:val="hr-HR"/>
        </w:rPr>
        <w:t xml:space="preserve"> dana u iznosu </w:t>
      </w:r>
      <w:r w:rsidR="006466F8">
        <w:rPr>
          <w:sz w:val="22"/>
          <w:szCs w:val="22"/>
          <w:lang w:val="hr-HR"/>
        </w:rPr>
        <w:t>331</w:t>
      </w:r>
      <w:r>
        <w:rPr>
          <w:sz w:val="22"/>
          <w:szCs w:val="22"/>
          <w:lang w:val="hr-HR"/>
        </w:rPr>
        <w:t>,</w:t>
      </w:r>
      <w:r w:rsidR="006466F8">
        <w:rPr>
          <w:sz w:val="22"/>
          <w:szCs w:val="22"/>
          <w:lang w:val="hr-HR"/>
        </w:rPr>
        <w:t>81</w:t>
      </w:r>
      <w:r>
        <w:rPr>
          <w:sz w:val="22"/>
          <w:szCs w:val="22"/>
          <w:lang w:val="hr-HR"/>
        </w:rPr>
        <w:t xml:space="preserve"> </w:t>
      </w:r>
      <w:r w:rsidR="006466F8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,</w:t>
      </w:r>
      <w:r w:rsidR="006466F8" w:rsidRPr="006466F8">
        <w:rPr>
          <w:sz w:val="22"/>
          <w:szCs w:val="22"/>
          <w:lang w:val="hr-HR"/>
        </w:rPr>
        <w:t xml:space="preserve"> </w:t>
      </w:r>
      <w:r w:rsidR="006466F8">
        <w:rPr>
          <w:sz w:val="22"/>
          <w:szCs w:val="22"/>
          <w:lang w:val="hr-HR"/>
        </w:rPr>
        <w:t xml:space="preserve">iz razloga što je dobavljač ispostavio račun nakon dospijeća plaćanja računa </w:t>
      </w:r>
      <w:r>
        <w:rPr>
          <w:sz w:val="22"/>
          <w:szCs w:val="22"/>
          <w:lang w:val="hr-HR"/>
        </w:rPr>
        <w:t xml:space="preserve"> te </w:t>
      </w:r>
      <w:r w:rsidR="006466F8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 dan</w:t>
      </w:r>
      <w:r w:rsidR="006466F8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u iznosu</w:t>
      </w:r>
      <w:r w:rsidR="006466F8">
        <w:rPr>
          <w:sz w:val="22"/>
          <w:szCs w:val="22"/>
          <w:lang w:val="hr-HR"/>
        </w:rPr>
        <w:t xml:space="preserve"> 341</w:t>
      </w:r>
      <w:r>
        <w:rPr>
          <w:sz w:val="22"/>
          <w:szCs w:val="22"/>
          <w:lang w:val="hr-HR"/>
        </w:rPr>
        <w:t>,</w:t>
      </w:r>
      <w:r w:rsidR="006466F8">
        <w:rPr>
          <w:sz w:val="22"/>
          <w:szCs w:val="22"/>
          <w:lang w:val="hr-HR"/>
        </w:rPr>
        <w:t>56</w:t>
      </w:r>
      <w:r>
        <w:rPr>
          <w:sz w:val="22"/>
          <w:szCs w:val="22"/>
          <w:lang w:val="hr-HR"/>
        </w:rPr>
        <w:t xml:space="preserve"> </w:t>
      </w:r>
      <w:r w:rsidR="006466F8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iz razloga što je račun </w:t>
      </w:r>
      <w:r w:rsidR="006466F8">
        <w:rPr>
          <w:sz w:val="22"/>
          <w:szCs w:val="22"/>
          <w:lang w:val="hr-HR"/>
        </w:rPr>
        <w:t>plaćen kartično 28.06.2023. godine a naplaćen  je s računa 3 dana nakon datuma izdavanja</w:t>
      </w:r>
      <w:r>
        <w:rPr>
          <w:sz w:val="22"/>
          <w:szCs w:val="22"/>
          <w:lang w:val="hr-HR"/>
        </w:rPr>
        <w:t xml:space="preserve"> računa.</w:t>
      </w:r>
    </w:p>
    <w:p w14:paraId="107AADD1" w14:textId="77777777" w:rsidR="00B9687E" w:rsidRDefault="00B9687E" w:rsidP="00B9687E">
      <w:pPr>
        <w:jc w:val="center"/>
        <w:rPr>
          <w:rFonts w:ascii="Arial" w:hAnsi="Arial" w:cs="Arial"/>
          <w:lang w:val="hr-HR"/>
        </w:rPr>
      </w:pPr>
    </w:p>
    <w:p w14:paraId="4D6AEA77" w14:textId="77777777" w:rsidR="00B9687E" w:rsidRDefault="00B9687E" w:rsidP="00B9687E">
      <w:pPr>
        <w:jc w:val="both"/>
        <w:rPr>
          <w:lang w:val="hr-HR"/>
        </w:rPr>
      </w:pPr>
    </w:p>
    <w:p w14:paraId="19B1B245" w14:textId="77777777" w:rsidR="00D8221C" w:rsidRPr="00D8221C" w:rsidRDefault="00D8221C" w:rsidP="00025F59">
      <w:pPr>
        <w:pStyle w:val="Zaglavlje"/>
        <w:tabs>
          <w:tab w:val="clear" w:pos="4536"/>
        </w:tabs>
        <w:jc w:val="both"/>
        <w:rPr>
          <w:b/>
          <w:sz w:val="22"/>
          <w:szCs w:val="22"/>
          <w:lang w:val="hr-HR"/>
        </w:rPr>
      </w:pPr>
    </w:p>
    <w:p w14:paraId="5110CF24" w14:textId="77777777" w:rsidR="0084201B" w:rsidRDefault="0084201B" w:rsidP="00D02C73">
      <w:pPr>
        <w:jc w:val="both"/>
        <w:rPr>
          <w:sz w:val="22"/>
          <w:szCs w:val="22"/>
          <w:lang w:val="hr-HR"/>
        </w:rPr>
      </w:pPr>
    </w:p>
    <w:p w14:paraId="0CE77C43" w14:textId="77777777" w:rsidR="00A3043D" w:rsidRDefault="00A3043D" w:rsidP="00D02C73">
      <w:pPr>
        <w:jc w:val="both"/>
        <w:rPr>
          <w:sz w:val="22"/>
          <w:szCs w:val="22"/>
          <w:lang w:val="hr-HR"/>
        </w:rPr>
      </w:pPr>
    </w:p>
    <w:p w14:paraId="2796C433" w14:textId="77777777" w:rsidR="005273F2" w:rsidRDefault="0072643A" w:rsidP="0072643A">
      <w:pPr>
        <w:rPr>
          <w:sz w:val="22"/>
          <w:szCs w:val="22"/>
          <w:lang w:val="hr-HR"/>
        </w:rPr>
      </w:pPr>
      <w:r w:rsidRPr="00E4521A">
        <w:rPr>
          <w:sz w:val="22"/>
          <w:szCs w:val="22"/>
          <w:lang w:val="hr-HR"/>
        </w:rPr>
        <w:t>K</w:t>
      </w:r>
      <w:r w:rsidR="005273F2">
        <w:rPr>
          <w:sz w:val="22"/>
          <w:szCs w:val="22"/>
          <w:lang w:val="hr-HR"/>
        </w:rPr>
        <w:t>LASA</w:t>
      </w:r>
      <w:r w:rsidRPr="00E4521A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>400-05/2</w:t>
      </w:r>
      <w:r w:rsidR="005273F2">
        <w:rPr>
          <w:sz w:val="22"/>
          <w:szCs w:val="22"/>
          <w:lang w:val="hr-HR"/>
        </w:rPr>
        <w:t>3</w:t>
      </w:r>
      <w:r w:rsidRPr="00E4521A">
        <w:rPr>
          <w:sz w:val="22"/>
          <w:szCs w:val="22"/>
          <w:lang w:val="hr-HR"/>
        </w:rPr>
        <w:t>-01/</w:t>
      </w:r>
      <w:r w:rsidR="00751566">
        <w:rPr>
          <w:sz w:val="22"/>
          <w:szCs w:val="22"/>
          <w:lang w:val="hr-HR"/>
        </w:rPr>
        <w:t>03</w:t>
      </w:r>
    </w:p>
    <w:p w14:paraId="5DF1924C" w14:textId="77777777" w:rsidR="0072643A" w:rsidRPr="00E4521A" w:rsidRDefault="0072643A" w:rsidP="0072643A">
      <w:pPr>
        <w:rPr>
          <w:sz w:val="22"/>
          <w:szCs w:val="22"/>
          <w:lang w:val="hr-HR"/>
        </w:rPr>
      </w:pPr>
      <w:r w:rsidRPr="00E4521A">
        <w:rPr>
          <w:sz w:val="22"/>
          <w:szCs w:val="22"/>
          <w:lang w:val="hr-HR"/>
        </w:rPr>
        <w:t>U</w:t>
      </w:r>
      <w:r w:rsidR="005273F2">
        <w:rPr>
          <w:sz w:val="22"/>
          <w:szCs w:val="22"/>
          <w:lang w:val="hr-HR"/>
        </w:rPr>
        <w:t>R</w:t>
      </w:r>
      <w:r w:rsidRPr="00E4521A">
        <w:rPr>
          <w:sz w:val="22"/>
          <w:szCs w:val="22"/>
          <w:lang w:val="hr-HR"/>
        </w:rPr>
        <w:t xml:space="preserve">. </w:t>
      </w:r>
      <w:r w:rsidR="005273F2">
        <w:rPr>
          <w:sz w:val="22"/>
          <w:szCs w:val="22"/>
          <w:lang w:val="hr-HR"/>
        </w:rPr>
        <w:t>BROJ</w:t>
      </w:r>
      <w:r w:rsidRPr="00E4521A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>2142-</w:t>
      </w:r>
      <w:r w:rsidRPr="00E4521A">
        <w:rPr>
          <w:sz w:val="22"/>
          <w:szCs w:val="22"/>
          <w:lang w:val="hr-HR"/>
        </w:rPr>
        <w:t>1-16-01-2</w:t>
      </w:r>
      <w:r w:rsidR="005273F2">
        <w:rPr>
          <w:sz w:val="22"/>
          <w:szCs w:val="22"/>
          <w:lang w:val="hr-HR"/>
        </w:rPr>
        <w:t>3</w:t>
      </w:r>
      <w:r w:rsidRPr="00E4521A">
        <w:rPr>
          <w:sz w:val="22"/>
          <w:szCs w:val="22"/>
          <w:lang w:val="hr-HR"/>
        </w:rPr>
        <w:t>-1</w:t>
      </w:r>
    </w:p>
    <w:p w14:paraId="1786492D" w14:textId="77777777" w:rsidR="0072643A" w:rsidRPr="00E4521A" w:rsidRDefault="0072643A" w:rsidP="0072643A">
      <w:pPr>
        <w:rPr>
          <w:sz w:val="22"/>
          <w:szCs w:val="22"/>
          <w:lang w:val="hr-HR"/>
        </w:rPr>
      </w:pPr>
      <w:r w:rsidRPr="00E4521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Krk, 1</w:t>
      </w:r>
      <w:r w:rsidR="005273F2">
        <w:rPr>
          <w:sz w:val="22"/>
          <w:szCs w:val="22"/>
          <w:lang w:val="hr-HR"/>
        </w:rPr>
        <w:t>0</w:t>
      </w:r>
      <w:r w:rsidRPr="00E4521A">
        <w:rPr>
          <w:sz w:val="22"/>
          <w:szCs w:val="22"/>
          <w:lang w:val="hr-HR"/>
        </w:rPr>
        <w:t>.07</w:t>
      </w:r>
      <w:r>
        <w:rPr>
          <w:sz w:val="22"/>
          <w:szCs w:val="22"/>
          <w:lang w:val="hr-HR"/>
        </w:rPr>
        <w:t>.202</w:t>
      </w:r>
      <w:r w:rsidR="005273F2">
        <w:rPr>
          <w:sz w:val="22"/>
          <w:szCs w:val="22"/>
          <w:lang w:val="hr-HR"/>
        </w:rPr>
        <w:t>3</w:t>
      </w:r>
      <w:r w:rsidRPr="00E4521A">
        <w:rPr>
          <w:sz w:val="22"/>
          <w:szCs w:val="22"/>
          <w:lang w:val="hr-HR"/>
        </w:rPr>
        <w:t>.</w:t>
      </w:r>
    </w:p>
    <w:p w14:paraId="15B1F57A" w14:textId="77777777" w:rsidR="0072643A" w:rsidRPr="00E4521A" w:rsidRDefault="0072643A" w:rsidP="0072643A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14:paraId="672310A6" w14:textId="77777777" w:rsidR="0072643A" w:rsidRDefault="0072643A" w:rsidP="0072643A">
      <w:pPr>
        <w:jc w:val="both"/>
        <w:rPr>
          <w:rFonts w:ascii="Bookman Old Style" w:hAnsi="Bookman Old Style"/>
          <w:lang w:val="hr-HR"/>
        </w:rPr>
      </w:pPr>
    </w:p>
    <w:p w14:paraId="4742AD82" w14:textId="77777777" w:rsidR="0072643A" w:rsidRPr="00AB4AB1" w:rsidRDefault="0072643A" w:rsidP="0072643A">
      <w:pPr>
        <w:jc w:val="both"/>
        <w:rPr>
          <w:rFonts w:ascii="Bookman Old Style" w:hAnsi="Bookman Old Style"/>
          <w:lang w:val="hr-HR"/>
        </w:rPr>
      </w:pPr>
    </w:p>
    <w:p w14:paraId="64074212" w14:textId="67C4DDFD" w:rsidR="0072643A" w:rsidRPr="00E4521A" w:rsidRDefault="0072643A" w:rsidP="0072643A">
      <w:pPr>
        <w:jc w:val="both"/>
        <w:rPr>
          <w:sz w:val="22"/>
          <w:szCs w:val="22"/>
          <w:lang w:val="hr-HR"/>
        </w:rPr>
      </w:pPr>
      <w:r w:rsidRPr="00E4521A">
        <w:rPr>
          <w:sz w:val="22"/>
          <w:szCs w:val="22"/>
          <w:lang w:val="hr-HR"/>
        </w:rPr>
        <w:t xml:space="preserve"> Bilješke sastavila: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Pr="00E4521A">
        <w:rPr>
          <w:sz w:val="22"/>
          <w:szCs w:val="22"/>
          <w:lang w:val="hr-HR"/>
        </w:rPr>
        <w:t xml:space="preserve">  </w:t>
      </w:r>
      <w:r w:rsidR="00EB1CA3">
        <w:rPr>
          <w:sz w:val="22"/>
          <w:szCs w:val="22"/>
          <w:lang w:val="hr-HR"/>
        </w:rPr>
        <w:t xml:space="preserve">   </w:t>
      </w:r>
      <w:r w:rsidRPr="00E4521A">
        <w:rPr>
          <w:sz w:val="22"/>
          <w:szCs w:val="22"/>
          <w:lang w:val="hr-HR"/>
        </w:rPr>
        <w:t xml:space="preserve"> Ravnateljica:</w:t>
      </w:r>
    </w:p>
    <w:p w14:paraId="057E9152" w14:textId="3BDCF065" w:rsidR="0072643A" w:rsidRPr="00E4521A" w:rsidRDefault="0072643A" w:rsidP="0072643A">
      <w:pPr>
        <w:jc w:val="both"/>
        <w:rPr>
          <w:sz w:val="22"/>
          <w:szCs w:val="22"/>
          <w:lang w:val="hr-HR"/>
        </w:rPr>
      </w:pPr>
      <w:r w:rsidRPr="00E4521A">
        <w:rPr>
          <w:sz w:val="22"/>
          <w:szCs w:val="22"/>
          <w:lang w:val="hr-HR"/>
        </w:rPr>
        <w:t xml:space="preserve"> Pavica Radić                                                                       </w:t>
      </w:r>
      <w:r w:rsidR="00EB1CA3">
        <w:rPr>
          <w:sz w:val="22"/>
          <w:szCs w:val="22"/>
          <w:lang w:val="hr-HR"/>
        </w:rPr>
        <w:t xml:space="preserve">    </w:t>
      </w:r>
      <w:r w:rsidRPr="00E4521A">
        <w:rPr>
          <w:sz w:val="22"/>
          <w:szCs w:val="22"/>
          <w:lang w:val="hr-HR"/>
        </w:rPr>
        <w:t>Irena Žic-</w:t>
      </w:r>
      <w:proofErr w:type="spellStart"/>
      <w:r w:rsidRPr="00E4521A">
        <w:rPr>
          <w:sz w:val="22"/>
          <w:szCs w:val="22"/>
          <w:lang w:val="hr-HR"/>
        </w:rPr>
        <w:t>Orlić</w:t>
      </w:r>
      <w:r w:rsidR="009246F3">
        <w:rPr>
          <w:sz w:val="22"/>
          <w:szCs w:val="22"/>
          <w:lang w:val="hr-HR"/>
        </w:rPr>
        <w:t>,univ.mag.praesc.educ</w:t>
      </w:r>
      <w:proofErr w:type="spellEnd"/>
      <w:r w:rsidR="009246F3">
        <w:rPr>
          <w:sz w:val="22"/>
          <w:szCs w:val="22"/>
          <w:lang w:val="hr-HR"/>
        </w:rPr>
        <w:t>.</w:t>
      </w:r>
    </w:p>
    <w:p w14:paraId="6399B607" w14:textId="77777777" w:rsidR="0072643A" w:rsidRPr="00E4521A" w:rsidRDefault="0072643A" w:rsidP="0072643A">
      <w:pPr>
        <w:jc w:val="both"/>
        <w:rPr>
          <w:sz w:val="22"/>
          <w:szCs w:val="22"/>
          <w:lang w:val="hr-HR"/>
        </w:rPr>
      </w:pPr>
    </w:p>
    <w:p w14:paraId="1AE91013" w14:textId="77777777" w:rsidR="0072643A" w:rsidRPr="00E4521A" w:rsidRDefault="0072643A" w:rsidP="0072643A">
      <w:pPr>
        <w:jc w:val="both"/>
        <w:rPr>
          <w:sz w:val="22"/>
          <w:szCs w:val="22"/>
          <w:lang w:val="hr-HR"/>
        </w:rPr>
      </w:pPr>
    </w:p>
    <w:p w14:paraId="7A1A6118" w14:textId="77777777" w:rsidR="0072643A" w:rsidRDefault="0072643A" w:rsidP="0072643A">
      <w:pPr>
        <w:jc w:val="both"/>
        <w:rPr>
          <w:lang w:val="hr-HR"/>
        </w:rPr>
      </w:pPr>
    </w:p>
    <w:p w14:paraId="610BDEC3" w14:textId="77777777" w:rsidR="00A3043D" w:rsidRDefault="00A3043D" w:rsidP="00D02C73">
      <w:pPr>
        <w:jc w:val="both"/>
        <w:rPr>
          <w:sz w:val="22"/>
          <w:szCs w:val="22"/>
          <w:lang w:val="hr-HR"/>
        </w:rPr>
      </w:pPr>
    </w:p>
    <w:p w14:paraId="1F6DC139" w14:textId="77777777" w:rsidR="00A3043D" w:rsidRDefault="00A3043D" w:rsidP="00D02C73">
      <w:pPr>
        <w:jc w:val="both"/>
        <w:rPr>
          <w:sz w:val="22"/>
          <w:szCs w:val="22"/>
          <w:lang w:val="hr-HR"/>
        </w:rPr>
      </w:pPr>
    </w:p>
    <w:p w14:paraId="509A6E24" w14:textId="77777777" w:rsidR="00A3043D" w:rsidRDefault="00A3043D" w:rsidP="00D02C73">
      <w:pPr>
        <w:jc w:val="both"/>
        <w:rPr>
          <w:sz w:val="22"/>
          <w:szCs w:val="22"/>
          <w:lang w:val="hr-HR"/>
        </w:rPr>
      </w:pPr>
    </w:p>
    <w:p w14:paraId="4F802B07" w14:textId="77777777" w:rsidR="00925743" w:rsidRPr="00AB4AB1" w:rsidRDefault="00925743" w:rsidP="00925743">
      <w:pPr>
        <w:jc w:val="both"/>
        <w:rPr>
          <w:sz w:val="22"/>
          <w:szCs w:val="22"/>
          <w:lang w:val="hr-HR"/>
        </w:rPr>
      </w:pPr>
    </w:p>
    <w:sectPr w:rsidR="00925743" w:rsidRPr="00AB4AB1" w:rsidSect="006C41A1">
      <w:footerReference w:type="even" r:id="rId8"/>
      <w:footerReference w:type="default" r:id="rId9"/>
      <w:footerReference w:type="first" r:id="rId10"/>
      <w:pgSz w:w="11906" w:h="16838"/>
      <w:pgMar w:top="1191" w:right="113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9402" w14:textId="77777777" w:rsidR="00D66C0A" w:rsidRDefault="00D66C0A">
      <w:r>
        <w:separator/>
      </w:r>
    </w:p>
  </w:endnote>
  <w:endnote w:type="continuationSeparator" w:id="0">
    <w:p w14:paraId="2DD84C05" w14:textId="77777777" w:rsidR="00D66C0A" w:rsidRDefault="00D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0377" w14:textId="77777777" w:rsidR="00285BD4" w:rsidRDefault="00285BD4" w:rsidP="00E7012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DC9C10D" w14:textId="77777777" w:rsidR="00285BD4" w:rsidRDefault="00285B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A455" w14:textId="77777777" w:rsidR="00285BD4" w:rsidRPr="00CA13BF" w:rsidRDefault="00285BD4" w:rsidP="00510190">
    <w:pPr>
      <w:pStyle w:val="Podnoje"/>
      <w:framePr w:wrap="around" w:vAnchor="text" w:hAnchor="margin" w:xAlign="center" w:y="1"/>
      <w:rPr>
        <w:rStyle w:val="Brojstranice"/>
        <w:sz w:val="20"/>
        <w:szCs w:val="20"/>
      </w:rPr>
    </w:pPr>
    <w:r w:rsidRPr="00CA13BF">
      <w:rPr>
        <w:rStyle w:val="Brojstranice"/>
        <w:sz w:val="20"/>
        <w:szCs w:val="20"/>
      </w:rPr>
      <w:fldChar w:fldCharType="begin"/>
    </w:r>
    <w:r w:rsidRPr="00CA13BF">
      <w:rPr>
        <w:rStyle w:val="Brojstranice"/>
        <w:sz w:val="20"/>
        <w:szCs w:val="20"/>
      </w:rPr>
      <w:instrText xml:space="preserve">PAGE  </w:instrText>
    </w:r>
    <w:r w:rsidRPr="00CA13BF">
      <w:rPr>
        <w:rStyle w:val="Brojstranice"/>
        <w:sz w:val="20"/>
        <w:szCs w:val="20"/>
      </w:rPr>
      <w:fldChar w:fldCharType="separate"/>
    </w:r>
    <w:r w:rsidR="00A85716">
      <w:rPr>
        <w:rStyle w:val="Brojstranice"/>
        <w:noProof/>
        <w:sz w:val="20"/>
        <w:szCs w:val="20"/>
      </w:rPr>
      <w:t>5</w:t>
    </w:r>
    <w:r w:rsidRPr="00CA13BF">
      <w:rPr>
        <w:rStyle w:val="Brojstranice"/>
        <w:sz w:val="20"/>
        <w:szCs w:val="20"/>
      </w:rPr>
      <w:fldChar w:fldCharType="end"/>
    </w:r>
  </w:p>
  <w:p w14:paraId="79B92C5D" w14:textId="77777777" w:rsidR="00285BD4" w:rsidRPr="00CA13BF" w:rsidRDefault="00285BD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08F1" w14:textId="77777777" w:rsidR="006C41A1" w:rsidRDefault="006C41A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85716" w:rsidRPr="00A85716">
      <w:rPr>
        <w:noProof/>
        <w:lang w:val="hr-HR"/>
      </w:rPr>
      <w:t>1</w:t>
    </w:r>
    <w:r>
      <w:fldChar w:fldCharType="end"/>
    </w:r>
  </w:p>
  <w:p w14:paraId="7E61B5A7" w14:textId="77777777" w:rsidR="006C41A1" w:rsidRDefault="006C41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3D0" w14:textId="77777777" w:rsidR="00D66C0A" w:rsidRDefault="00D66C0A">
      <w:r>
        <w:separator/>
      </w:r>
    </w:p>
  </w:footnote>
  <w:footnote w:type="continuationSeparator" w:id="0">
    <w:p w14:paraId="6A4C4FF8" w14:textId="77777777" w:rsidR="00D66C0A" w:rsidRDefault="00D6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29"/>
    <w:multiLevelType w:val="hybridMultilevel"/>
    <w:tmpl w:val="AB101002"/>
    <w:lvl w:ilvl="0" w:tplc="97788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013"/>
    <w:multiLevelType w:val="hybridMultilevel"/>
    <w:tmpl w:val="45AC4A4A"/>
    <w:lvl w:ilvl="0" w:tplc="BE5C54E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4DF53D6"/>
    <w:multiLevelType w:val="hybridMultilevel"/>
    <w:tmpl w:val="5016D8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5A17"/>
    <w:multiLevelType w:val="hybridMultilevel"/>
    <w:tmpl w:val="74D8E120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A42CCF"/>
    <w:multiLevelType w:val="hybridMultilevel"/>
    <w:tmpl w:val="996C3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81CBB"/>
    <w:multiLevelType w:val="hybridMultilevel"/>
    <w:tmpl w:val="DC9A81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60062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67B0"/>
    <w:multiLevelType w:val="hybridMultilevel"/>
    <w:tmpl w:val="AD926E5A"/>
    <w:lvl w:ilvl="0" w:tplc="991ADF3C">
      <w:start w:val="39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E0FB0"/>
    <w:multiLevelType w:val="hybridMultilevel"/>
    <w:tmpl w:val="16AE77FC"/>
    <w:lvl w:ilvl="0" w:tplc="041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2C6AAE"/>
    <w:multiLevelType w:val="hybridMultilevel"/>
    <w:tmpl w:val="E2706E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228434">
    <w:abstractNumId w:val="1"/>
  </w:num>
  <w:num w:numId="2" w16cid:durableId="867716242">
    <w:abstractNumId w:val="8"/>
  </w:num>
  <w:num w:numId="3" w16cid:durableId="844586733">
    <w:abstractNumId w:val="7"/>
  </w:num>
  <w:num w:numId="4" w16cid:durableId="1846936428">
    <w:abstractNumId w:val="3"/>
  </w:num>
  <w:num w:numId="5" w16cid:durableId="1683778338">
    <w:abstractNumId w:val="2"/>
  </w:num>
  <w:num w:numId="6" w16cid:durableId="1097213227">
    <w:abstractNumId w:val="5"/>
  </w:num>
  <w:num w:numId="7" w16cid:durableId="309097114">
    <w:abstractNumId w:val="6"/>
  </w:num>
  <w:num w:numId="8" w16cid:durableId="1633514553">
    <w:abstractNumId w:val="0"/>
  </w:num>
  <w:num w:numId="9" w16cid:durableId="185019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5F"/>
    <w:rsid w:val="00000BE1"/>
    <w:rsid w:val="000017CA"/>
    <w:rsid w:val="0000367D"/>
    <w:rsid w:val="000043BC"/>
    <w:rsid w:val="00005197"/>
    <w:rsid w:val="000103F6"/>
    <w:rsid w:val="0001254A"/>
    <w:rsid w:val="00016C80"/>
    <w:rsid w:val="00016F84"/>
    <w:rsid w:val="000173EA"/>
    <w:rsid w:val="00017FEB"/>
    <w:rsid w:val="000218BB"/>
    <w:rsid w:val="000219C7"/>
    <w:rsid w:val="00022C23"/>
    <w:rsid w:val="000246AE"/>
    <w:rsid w:val="00025F59"/>
    <w:rsid w:val="00026153"/>
    <w:rsid w:val="000274C6"/>
    <w:rsid w:val="00027AB5"/>
    <w:rsid w:val="00030773"/>
    <w:rsid w:val="0003095C"/>
    <w:rsid w:val="0003123B"/>
    <w:rsid w:val="00036045"/>
    <w:rsid w:val="000362AB"/>
    <w:rsid w:val="00037E0A"/>
    <w:rsid w:val="00042C73"/>
    <w:rsid w:val="00043667"/>
    <w:rsid w:val="00045849"/>
    <w:rsid w:val="00045D94"/>
    <w:rsid w:val="000479CB"/>
    <w:rsid w:val="0005041B"/>
    <w:rsid w:val="0005392C"/>
    <w:rsid w:val="00054478"/>
    <w:rsid w:val="00056E82"/>
    <w:rsid w:val="00061696"/>
    <w:rsid w:val="00064AA2"/>
    <w:rsid w:val="0006542E"/>
    <w:rsid w:val="00065AF9"/>
    <w:rsid w:val="000665B3"/>
    <w:rsid w:val="00067B7B"/>
    <w:rsid w:val="00075714"/>
    <w:rsid w:val="000761F5"/>
    <w:rsid w:val="00077762"/>
    <w:rsid w:val="000825C2"/>
    <w:rsid w:val="000834A7"/>
    <w:rsid w:val="00085BD1"/>
    <w:rsid w:val="000906F3"/>
    <w:rsid w:val="00091E27"/>
    <w:rsid w:val="00091F0D"/>
    <w:rsid w:val="00093B6B"/>
    <w:rsid w:val="000943E0"/>
    <w:rsid w:val="000951F0"/>
    <w:rsid w:val="000A5642"/>
    <w:rsid w:val="000A6EA9"/>
    <w:rsid w:val="000B130C"/>
    <w:rsid w:val="000B5092"/>
    <w:rsid w:val="000C3C23"/>
    <w:rsid w:val="000C428E"/>
    <w:rsid w:val="000D0B3D"/>
    <w:rsid w:val="000D0FEA"/>
    <w:rsid w:val="000D178F"/>
    <w:rsid w:val="000D1A34"/>
    <w:rsid w:val="000D35C5"/>
    <w:rsid w:val="000D55AB"/>
    <w:rsid w:val="000D6681"/>
    <w:rsid w:val="000D730A"/>
    <w:rsid w:val="000E0C55"/>
    <w:rsid w:val="000E1C10"/>
    <w:rsid w:val="000E3896"/>
    <w:rsid w:val="000F09E0"/>
    <w:rsid w:val="000F52B7"/>
    <w:rsid w:val="000F581A"/>
    <w:rsid w:val="00100206"/>
    <w:rsid w:val="0010232D"/>
    <w:rsid w:val="00102884"/>
    <w:rsid w:val="00114645"/>
    <w:rsid w:val="00120A03"/>
    <w:rsid w:val="00121F2C"/>
    <w:rsid w:val="001243CF"/>
    <w:rsid w:val="00127EFB"/>
    <w:rsid w:val="001364BF"/>
    <w:rsid w:val="0013728F"/>
    <w:rsid w:val="00137792"/>
    <w:rsid w:val="00141D7A"/>
    <w:rsid w:val="00142B00"/>
    <w:rsid w:val="00146823"/>
    <w:rsid w:val="0014712B"/>
    <w:rsid w:val="001511AF"/>
    <w:rsid w:val="001525FC"/>
    <w:rsid w:val="00154C92"/>
    <w:rsid w:val="00155C1E"/>
    <w:rsid w:val="00156067"/>
    <w:rsid w:val="00156FEF"/>
    <w:rsid w:val="00157442"/>
    <w:rsid w:val="001575FA"/>
    <w:rsid w:val="0016593D"/>
    <w:rsid w:val="001673B3"/>
    <w:rsid w:val="00172291"/>
    <w:rsid w:val="00173A5C"/>
    <w:rsid w:val="00175AC5"/>
    <w:rsid w:val="001803C6"/>
    <w:rsid w:val="001838D9"/>
    <w:rsid w:val="00185652"/>
    <w:rsid w:val="0018614D"/>
    <w:rsid w:val="00191A77"/>
    <w:rsid w:val="00191F3F"/>
    <w:rsid w:val="00191F58"/>
    <w:rsid w:val="00193E08"/>
    <w:rsid w:val="00197A68"/>
    <w:rsid w:val="00197A7B"/>
    <w:rsid w:val="001A047D"/>
    <w:rsid w:val="001A0753"/>
    <w:rsid w:val="001A4F65"/>
    <w:rsid w:val="001A6C08"/>
    <w:rsid w:val="001B00AF"/>
    <w:rsid w:val="001B1206"/>
    <w:rsid w:val="001B1F87"/>
    <w:rsid w:val="001B22FC"/>
    <w:rsid w:val="001B6712"/>
    <w:rsid w:val="001B6827"/>
    <w:rsid w:val="001C0E2D"/>
    <w:rsid w:val="001C1136"/>
    <w:rsid w:val="001C20E3"/>
    <w:rsid w:val="001C2198"/>
    <w:rsid w:val="001C467D"/>
    <w:rsid w:val="001C53FE"/>
    <w:rsid w:val="001C6080"/>
    <w:rsid w:val="001C72E6"/>
    <w:rsid w:val="001D222D"/>
    <w:rsid w:val="001D7018"/>
    <w:rsid w:val="001E13ED"/>
    <w:rsid w:val="001E2437"/>
    <w:rsid w:val="001E5457"/>
    <w:rsid w:val="001E76F0"/>
    <w:rsid w:val="001E7712"/>
    <w:rsid w:val="001F0BA7"/>
    <w:rsid w:val="001F191F"/>
    <w:rsid w:val="001F3ABF"/>
    <w:rsid w:val="001F400C"/>
    <w:rsid w:val="001F41E7"/>
    <w:rsid w:val="001F4E1E"/>
    <w:rsid w:val="001F53AB"/>
    <w:rsid w:val="001F579B"/>
    <w:rsid w:val="002060F5"/>
    <w:rsid w:val="00206F47"/>
    <w:rsid w:val="00213C0A"/>
    <w:rsid w:val="002209A6"/>
    <w:rsid w:val="00227CA3"/>
    <w:rsid w:val="00233593"/>
    <w:rsid w:val="00235132"/>
    <w:rsid w:val="00240063"/>
    <w:rsid w:val="0024362A"/>
    <w:rsid w:val="00246E90"/>
    <w:rsid w:val="00246EA4"/>
    <w:rsid w:val="002528B5"/>
    <w:rsid w:val="00254731"/>
    <w:rsid w:val="00254C16"/>
    <w:rsid w:val="00255731"/>
    <w:rsid w:val="00256941"/>
    <w:rsid w:val="00256962"/>
    <w:rsid w:val="0026267A"/>
    <w:rsid w:val="00262C32"/>
    <w:rsid w:val="002635CC"/>
    <w:rsid w:val="0026416C"/>
    <w:rsid w:val="00266854"/>
    <w:rsid w:val="00274197"/>
    <w:rsid w:val="00280C5C"/>
    <w:rsid w:val="002829A2"/>
    <w:rsid w:val="00285022"/>
    <w:rsid w:val="00285A14"/>
    <w:rsid w:val="00285BD4"/>
    <w:rsid w:val="0029033A"/>
    <w:rsid w:val="00290FB4"/>
    <w:rsid w:val="00292224"/>
    <w:rsid w:val="0029372C"/>
    <w:rsid w:val="002A02B2"/>
    <w:rsid w:val="002A21B2"/>
    <w:rsid w:val="002A220E"/>
    <w:rsid w:val="002A2363"/>
    <w:rsid w:val="002A3AF9"/>
    <w:rsid w:val="002B0CFC"/>
    <w:rsid w:val="002B18FA"/>
    <w:rsid w:val="002B21B3"/>
    <w:rsid w:val="002B5260"/>
    <w:rsid w:val="002C10D1"/>
    <w:rsid w:val="002C13D1"/>
    <w:rsid w:val="002C2CB4"/>
    <w:rsid w:val="002C5691"/>
    <w:rsid w:val="002C7FE7"/>
    <w:rsid w:val="002D2078"/>
    <w:rsid w:val="002D2356"/>
    <w:rsid w:val="002D29A2"/>
    <w:rsid w:val="002D7D23"/>
    <w:rsid w:val="002E0DC8"/>
    <w:rsid w:val="002E7037"/>
    <w:rsid w:val="002F0257"/>
    <w:rsid w:val="002F0FF0"/>
    <w:rsid w:val="002F125E"/>
    <w:rsid w:val="002F24C1"/>
    <w:rsid w:val="002F25D9"/>
    <w:rsid w:val="002F3E04"/>
    <w:rsid w:val="002F55CF"/>
    <w:rsid w:val="002F7047"/>
    <w:rsid w:val="00305271"/>
    <w:rsid w:val="003066D5"/>
    <w:rsid w:val="00310267"/>
    <w:rsid w:val="00313A83"/>
    <w:rsid w:val="00313BFB"/>
    <w:rsid w:val="00315A49"/>
    <w:rsid w:val="003233C5"/>
    <w:rsid w:val="00324680"/>
    <w:rsid w:val="003276C3"/>
    <w:rsid w:val="00327CC8"/>
    <w:rsid w:val="00331BEC"/>
    <w:rsid w:val="003351B4"/>
    <w:rsid w:val="00336C5C"/>
    <w:rsid w:val="003370B6"/>
    <w:rsid w:val="00337ED7"/>
    <w:rsid w:val="0034042C"/>
    <w:rsid w:val="00340B92"/>
    <w:rsid w:val="00341CE1"/>
    <w:rsid w:val="00341FBB"/>
    <w:rsid w:val="00342B36"/>
    <w:rsid w:val="00342E4B"/>
    <w:rsid w:val="003501BB"/>
    <w:rsid w:val="00353E31"/>
    <w:rsid w:val="00355702"/>
    <w:rsid w:val="0035622E"/>
    <w:rsid w:val="00357C6E"/>
    <w:rsid w:val="0036068D"/>
    <w:rsid w:val="003730AC"/>
    <w:rsid w:val="00377D96"/>
    <w:rsid w:val="003802ED"/>
    <w:rsid w:val="00381632"/>
    <w:rsid w:val="00381ECC"/>
    <w:rsid w:val="00382A6D"/>
    <w:rsid w:val="0038391A"/>
    <w:rsid w:val="003842F2"/>
    <w:rsid w:val="00387DA4"/>
    <w:rsid w:val="00390D48"/>
    <w:rsid w:val="003912A1"/>
    <w:rsid w:val="00393C32"/>
    <w:rsid w:val="00393ED4"/>
    <w:rsid w:val="00394A58"/>
    <w:rsid w:val="00396865"/>
    <w:rsid w:val="003A607D"/>
    <w:rsid w:val="003B05A0"/>
    <w:rsid w:val="003B06F6"/>
    <w:rsid w:val="003B33E1"/>
    <w:rsid w:val="003B38D4"/>
    <w:rsid w:val="003B62C0"/>
    <w:rsid w:val="003C5C1E"/>
    <w:rsid w:val="003C6231"/>
    <w:rsid w:val="003C7127"/>
    <w:rsid w:val="003D1469"/>
    <w:rsid w:val="003D2542"/>
    <w:rsid w:val="003D28CF"/>
    <w:rsid w:val="003D4686"/>
    <w:rsid w:val="003D47AC"/>
    <w:rsid w:val="003D6CDF"/>
    <w:rsid w:val="003E39A8"/>
    <w:rsid w:val="003F431F"/>
    <w:rsid w:val="003F6753"/>
    <w:rsid w:val="003F7C9A"/>
    <w:rsid w:val="003F7D42"/>
    <w:rsid w:val="004001C6"/>
    <w:rsid w:val="004032A0"/>
    <w:rsid w:val="00403BA1"/>
    <w:rsid w:val="00405357"/>
    <w:rsid w:val="0040711A"/>
    <w:rsid w:val="00413442"/>
    <w:rsid w:val="00414BFA"/>
    <w:rsid w:val="0042130A"/>
    <w:rsid w:val="00421878"/>
    <w:rsid w:val="00422F6C"/>
    <w:rsid w:val="00423431"/>
    <w:rsid w:val="004246A8"/>
    <w:rsid w:val="00425D22"/>
    <w:rsid w:val="0042772F"/>
    <w:rsid w:val="00430359"/>
    <w:rsid w:val="00430547"/>
    <w:rsid w:val="0043106D"/>
    <w:rsid w:val="004315EE"/>
    <w:rsid w:val="0043229C"/>
    <w:rsid w:val="00433E0D"/>
    <w:rsid w:val="004349B4"/>
    <w:rsid w:val="004360D4"/>
    <w:rsid w:val="004363D0"/>
    <w:rsid w:val="00441AE5"/>
    <w:rsid w:val="00441FD6"/>
    <w:rsid w:val="00443A45"/>
    <w:rsid w:val="00444F22"/>
    <w:rsid w:val="00444FCE"/>
    <w:rsid w:val="0044698F"/>
    <w:rsid w:val="00446E41"/>
    <w:rsid w:val="0045217A"/>
    <w:rsid w:val="00452BE0"/>
    <w:rsid w:val="0045767E"/>
    <w:rsid w:val="0046146F"/>
    <w:rsid w:val="004628A9"/>
    <w:rsid w:val="00462A18"/>
    <w:rsid w:val="00470E79"/>
    <w:rsid w:val="004722F6"/>
    <w:rsid w:val="00472A9E"/>
    <w:rsid w:val="00474E1F"/>
    <w:rsid w:val="004801C2"/>
    <w:rsid w:val="00480D27"/>
    <w:rsid w:val="00484A74"/>
    <w:rsid w:val="00484FF7"/>
    <w:rsid w:val="00487E1E"/>
    <w:rsid w:val="00490EC4"/>
    <w:rsid w:val="004928AC"/>
    <w:rsid w:val="00492AF9"/>
    <w:rsid w:val="0049316A"/>
    <w:rsid w:val="004946E6"/>
    <w:rsid w:val="0049581A"/>
    <w:rsid w:val="00495B5F"/>
    <w:rsid w:val="004A225D"/>
    <w:rsid w:val="004A3536"/>
    <w:rsid w:val="004A5D6A"/>
    <w:rsid w:val="004A6B2B"/>
    <w:rsid w:val="004A7484"/>
    <w:rsid w:val="004A7D96"/>
    <w:rsid w:val="004B380E"/>
    <w:rsid w:val="004B499C"/>
    <w:rsid w:val="004B5015"/>
    <w:rsid w:val="004B670A"/>
    <w:rsid w:val="004C0EAC"/>
    <w:rsid w:val="004C11C0"/>
    <w:rsid w:val="004C1FEE"/>
    <w:rsid w:val="004C347C"/>
    <w:rsid w:val="004C35E9"/>
    <w:rsid w:val="004C66EC"/>
    <w:rsid w:val="004C7184"/>
    <w:rsid w:val="004D0B0E"/>
    <w:rsid w:val="004D0CD4"/>
    <w:rsid w:val="004D2614"/>
    <w:rsid w:val="004D44B9"/>
    <w:rsid w:val="004D5E1E"/>
    <w:rsid w:val="004D6C70"/>
    <w:rsid w:val="004D72D6"/>
    <w:rsid w:val="004E0FA5"/>
    <w:rsid w:val="004E6985"/>
    <w:rsid w:val="004E6F90"/>
    <w:rsid w:val="004E7E1F"/>
    <w:rsid w:val="004F140D"/>
    <w:rsid w:val="004F43C9"/>
    <w:rsid w:val="004F541D"/>
    <w:rsid w:val="004F5FEA"/>
    <w:rsid w:val="004F7289"/>
    <w:rsid w:val="00500FBB"/>
    <w:rsid w:val="00502019"/>
    <w:rsid w:val="00510190"/>
    <w:rsid w:val="005107B7"/>
    <w:rsid w:val="00512580"/>
    <w:rsid w:val="00513D56"/>
    <w:rsid w:val="00513E25"/>
    <w:rsid w:val="0051709E"/>
    <w:rsid w:val="0051752E"/>
    <w:rsid w:val="0052144F"/>
    <w:rsid w:val="005221EF"/>
    <w:rsid w:val="0052334B"/>
    <w:rsid w:val="005244FC"/>
    <w:rsid w:val="00525476"/>
    <w:rsid w:val="005258F9"/>
    <w:rsid w:val="005259AD"/>
    <w:rsid w:val="00525CBC"/>
    <w:rsid w:val="005273F2"/>
    <w:rsid w:val="00532038"/>
    <w:rsid w:val="00533A16"/>
    <w:rsid w:val="0053444E"/>
    <w:rsid w:val="005359B0"/>
    <w:rsid w:val="005376B5"/>
    <w:rsid w:val="00537E35"/>
    <w:rsid w:val="0054140B"/>
    <w:rsid w:val="00544521"/>
    <w:rsid w:val="005468C3"/>
    <w:rsid w:val="00546BF7"/>
    <w:rsid w:val="00547449"/>
    <w:rsid w:val="005474AA"/>
    <w:rsid w:val="00547AC2"/>
    <w:rsid w:val="00551FFB"/>
    <w:rsid w:val="0055476B"/>
    <w:rsid w:val="005561D0"/>
    <w:rsid w:val="005617AF"/>
    <w:rsid w:val="0056266F"/>
    <w:rsid w:val="005700E1"/>
    <w:rsid w:val="005715CC"/>
    <w:rsid w:val="00572B5B"/>
    <w:rsid w:val="005756CD"/>
    <w:rsid w:val="00577C15"/>
    <w:rsid w:val="005801EC"/>
    <w:rsid w:val="00585A7A"/>
    <w:rsid w:val="00585BA5"/>
    <w:rsid w:val="00591375"/>
    <w:rsid w:val="005929B9"/>
    <w:rsid w:val="00592F18"/>
    <w:rsid w:val="005A3687"/>
    <w:rsid w:val="005A3C13"/>
    <w:rsid w:val="005A52F4"/>
    <w:rsid w:val="005B1CAE"/>
    <w:rsid w:val="005B1EA7"/>
    <w:rsid w:val="005B3211"/>
    <w:rsid w:val="005B3447"/>
    <w:rsid w:val="005B3545"/>
    <w:rsid w:val="005B3641"/>
    <w:rsid w:val="005B41EF"/>
    <w:rsid w:val="005C44F7"/>
    <w:rsid w:val="005C578E"/>
    <w:rsid w:val="005C60FA"/>
    <w:rsid w:val="005D0947"/>
    <w:rsid w:val="005D1818"/>
    <w:rsid w:val="005E1551"/>
    <w:rsid w:val="005E20BE"/>
    <w:rsid w:val="005E26AA"/>
    <w:rsid w:val="005E34C7"/>
    <w:rsid w:val="005E4BEA"/>
    <w:rsid w:val="005F0F9F"/>
    <w:rsid w:val="005F2990"/>
    <w:rsid w:val="005F4EF9"/>
    <w:rsid w:val="005F6C1A"/>
    <w:rsid w:val="00601868"/>
    <w:rsid w:val="00604C3C"/>
    <w:rsid w:val="006125D1"/>
    <w:rsid w:val="006127AC"/>
    <w:rsid w:val="0062070F"/>
    <w:rsid w:val="00622B8F"/>
    <w:rsid w:val="0062348E"/>
    <w:rsid w:val="00624318"/>
    <w:rsid w:val="00625B07"/>
    <w:rsid w:val="00630D26"/>
    <w:rsid w:val="00631249"/>
    <w:rsid w:val="00632682"/>
    <w:rsid w:val="00633434"/>
    <w:rsid w:val="00633758"/>
    <w:rsid w:val="00633D9F"/>
    <w:rsid w:val="0063424F"/>
    <w:rsid w:val="006371EF"/>
    <w:rsid w:val="00641BEC"/>
    <w:rsid w:val="00641C5C"/>
    <w:rsid w:val="0064442B"/>
    <w:rsid w:val="00644AB9"/>
    <w:rsid w:val="00644C1B"/>
    <w:rsid w:val="00645842"/>
    <w:rsid w:val="00646531"/>
    <w:rsid w:val="006466F8"/>
    <w:rsid w:val="00652B11"/>
    <w:rsid w:val="00653916"/>
    <w:rsid w:val="00657A8C"/>
    <w:rsid w:val="00657FA6"/>
    <w:rsid w:val="0066394E"/>
    <w:rsid w:val="006644D5"/>
    <w:rsid w:val="00667DA6"/>
    <w:rsid w:val="006714C3"/>
    <w:rsid w:val="006717E0"/>
    <w:rsid w:val="00671909"/>
    <w:rsid w:val="00672809"/>
    <w:rsid w:val="00672DF6"/>
    <w:rsid w:val="00675D71"/>
    <w:rsid w:val="00680446"/>
    <w:rsid w:val="00681072"/>
    <w:rsid w:val="00682588"/>
    <w:rsid w:val="0068403B"/>
    <w:rsid w:val="006855A3"/>
    <w:rsid w:val="00687198"/>
    <w:rsid w:val="0068765D"/>
    <w:rsid w:val="00693D79"/>
    <w:rsid w:val="006941AF"/>
    <w:rsid w:val="00694984"/>
    <w:rsid w:val="00694D7A"/>
    <w:rsid w:val="00696FFC"/>
    <w:rsid w:val="006A0A0C"/>
    <w:rsid w:val="006B404C"/>
    <w:rsid w:val="006B573F"/>
    <w:rsid w:val="006C41A1"/>
    <w:rsid w:val="006C527B"/>
    <w:rsid w:val="006D0F19"/>
    <w:rsid w:val="006D4CDB"/>
    <w:rsid w:val="006D6CB2"/>
    <w:rsid w:val="006E1A40"/>
    <w:rsid w:val="006E2CD3"/>
    <w:rsid w:val="006E2E46"/>
    <w:rsid w:val="006E502B"/>
    <w:rsid w:val="006E561E"/>
    <w:rsid w:val="006E6F8B"/>
    <w:rsid w:val="006E7925"/>
    <w:rsid w:val="006F2D3A"/>
    <w:rsid w:val="006F6A40"/>
    <w:rsid w:val="0070067F"/>
    <w:rsid w:val="00700D80"/>
    <w:rsid w:val="0070304A"/>
    <w:rsid w:val="00704B81"/>
    <w:rsid w:val="00704F80"/>
    <w:rsid w:val="007065F2"/>
    <w:rsid w:val="00706922"/>
    <w:rsid w:val="00707B11"/>
    <w:rsid w:val="007120FA"/>
    <w:rsid w:val="00715DE3"/>
    <w:rsid w:val="00717E84"/>
    <w:rsid w:val="0072379D"/>
    <w:rsid w:val="0072643A"/>
    <w:rsid w:val="0072771C"/>
    <w:rsid w:val="0072786B"/>
    <w:rsid w:val="00727A84"/>
    <w:rsid w:val="00727E41"/>
    <w:rsid w:val="007373B5"/>
    <w:rsid w:val="00737DBB"/>
    <w:rsid w:val="00742D4A"/>
    <w:rsid w:val="00743C69"/>
    <w:rsid w:val="00744DB3"/>
    <w:rsid w:val="007459C1"/>
    <w:rsid w:val="00745BC3"/>
    <w:rsid w:val="007475A6"/>
    <w:rsid w:val="00750AA5"/>
    <w:rsid w:val="0075105A"/>
    <w:rsid w:val="00751566"/>
    <w:rsid w:val="007516AE"/>
    <w:rsid w:val="007516C8"/>
    <w:rsid w:val="0075255F"/>
    <w:rsid w:val="00752E31"/>
    <w:rsid w:val="007559C2"/>
    <w:rsid w:val="00755B46"/>
    <w:rsid w:val="0076213C"/>
    <w:rsid w:val="00764470"/>
    <w:rsid w:val="007671E6"/>
    <w:rsid w:val="0077156C"/>
    <w:rsid w:val="00777468"/>
    <w:rsid w:val="0078385C"/>
    <w:rsid w:val="007938AE"/>
    <w:rsid w:val="007950C4"/>
    <w:rsid w:val="00795F65"/>
    <w:rsid w:val="007A0997"/>
    <w:rsid w:val="007A179A"/>
    <w:rsid w:val="007B0FC1"/>
    <w:rsid w:val="007B2636"/>
    <w:rsid w:val="007B2C38"/>
    <w:rsid w:val="007B3166"/>
    <w:rsid w:val="007B3A84"/>
    <w:rsid w:val="007C598E"/>
    <w:rsid w:val="007C687C"/>
    <w:rsid w:val="007C75D0"/>
    <w:rsid w:val="007D13F5"/>
    <w:rsid w:val="007D3043"/>
    <w:rsid w:val="007D397F"/>
    <w:rsid w:val="007D4EDC"/>
    <w:rsid w:val="007E341B"/>
    <w:rsid w:val="007E3F95"/>
    <w:rsid w:val="007E4C54"/>
    <w:rsid w:val="007E6533"/>
    <w:rsid w:val="007E66A4"/>
    <w:rsid w:val="008020E0"/>
    <w:rsid w:val="00802D98"/>
    <w:rsid w:val="00802E67"/>
    <w:rsid w:val="00803778"/>
    <w:rsid w:val="0080725E"/>
    <w:rsid w:val="00811C57"/>
    <w:rsid w:val="008123E5"/>
    <w:rsid w:val="008137A4"/>
    <w:rsid w:val="00814C85"/>
    <w:rsid w:val="00815948"/>
    <w:rsid w:val="00821165"/>
    <w:rsid w:val="00821687"/>
    <w:rsid w:val="008224FF"/>
    <w:rsid w:val="008226F8"/>
    <w:rsid w:val="00822B5A"/>
    <w:rsid w:val="00822DE9"/>
    <w:rsid w:val="008230ED"/>
    <w:rsid w:val="0082316E"/>
    <w:rsid w:val="008304E7"/>
    <w:rsid w:val="008330E8"/>
    <w:rsid w:val="00833225"/>
    <w:rsid w:val="0083748A"/>
    <w:rsid w:val="00841C4E"/>
    <w:rsid w:val="0084201B"/>
    <w:rsid w:val="0084386D"/>
    <w:rsid w:val="00843CCD"/>
    <w:rsid w:val="00844038"/>
    <w:rsid w:val="008441BA"/>
    <w:rsid w:val="00844C3C"/>
    <w:rsid w:val="00845A56"/>
    <w:rsid w:val="00846550"/>
    <w:rsid w:val="00860DE5"/>
    <w:rsid w:val="0086369F"/>
    <w:rsid w:val="008662AE"/>
    <w:rsid w:val="00870399"/>
    <w:rsid w:val="00870E60"/>
    <w:rsid w:val="00871E76"/>
    <w:rsid w:val="0087233A"/>
    <w:rsid w:val="008760F2"/>
    <w:rsid w:val="00876AAB"/>
    <w:rsid w:val="00877635"/>
    <w:rsid w:val="00880FE7"/>
    <w:rsid w:val="00883FB4"/>
    <w:rsid w:val="00886071"/>
    <w:rsid w:val="008862AB"/>
    <w:rsid w:val="0088756E"/>
    <w:rsid w:val="0089284A"/>
    <w:rsid w:val="00894E18"/>
    <w:rsid w:val="00897063"/>
    <w:rsid w:val="008979C4"/>
    <w:rsid w:val="008A0FA2"/>
    <w:rsid w:val="008A272A"/>
    <w:rsid w:val="008A355B"/>
    <w:rsid w:val="008A4042"/>
    <w:rsid w:val="008A72B0"/>
    <w:rsid w:val="008B0E18"/>
    <w:rsid w:val="008B2844"/>
    <w:rsid w:val="008B3704"/>
    <w:rsid w:val="008B414F"/>
    <w:rsid w:val="008B67BD"/>
    <w:rsid w:val="008C2633"/>
    <w:rsid w:val="008C2CB6"/>
    <w:rsid w:val="008D0161"/>
    <w:rsid w:val="008D0D44"/>
    <w:rsid w:val="008D3DBB"/>
    <w:rsid w:val="008E1C43"/>
    <w:rsid w:val="008E57BF"/>
    <w:rsid w:val="008E608C"/>
    <w:rsid w:val="008E6EC0"/>
    <w:rsid w:val="008E77F4"/>
    <w:rsid w:val="008F26F6"/>
    <w:rsid w:val="008F2B42"/>
    <w:rsid w:val="008F425F"/>
    <w:rsid w:val="008F6514"/>
    <w:rsid w:val="009035F5"/>
    <w:rsid w:val="00903E59"/>
    <w:rsid w:val="009062D2"/>
    <w:rsid w:val="00906623"/>
    <w:rsid w:val="00913009"/>
    <w:rsid w:val="00916644"/>
    <w:rsid w:val="009213CE"/>
    <w:rsid w:val="009246F3"/>
    <w:rsid w:val="00925418"/>
    <w:rsid w:val="00925743"/>
    <w:rsid w:val="00925E87"/>
    <w:rsid w:val="00926167"/>
    <w:rsid w:val="009326E9"/>
    <w:rsid w:val="00933FFD"/>
    <w:rsid w:val="00935A68"/>
    <w:rsid w:val="00936520"/>
    <w:rsid w:val="00937A78"/>
    <w:rsid w:val="00940E6F"/>
    <w:rsid w:val="00941690"/>
    <w:rsid w:val="009430EE"/>
    <w:rsid w:val="00943210"/>
    <w:rsid w:val="009458C7"/>
    <w:rsid w:val="00945D48"/>
    <w:rsid w:val="00946575"/>
    <w:rsid w:val="0094747D"/>
    <w:rsid w:val="00947CB9"/>
    <w:rsid w:val="00951EB1"/>
    <w:rsid w:val="009528DA"/>
    <w:rsid w:val="009530BF"/>
    <w:rsid w:val="009547EC"/>
    <w:rsid w:val="00955554"/>
    <w:rsid w:val="00955E70"/>
    <w:rsid w:val="00960135"/>
    <w:rsid w:val="00964F8C"/>
    <w:rsid w:val="0096620F"/>
    <w:rsid w:val="009669FC"/>
    <w:rsid w:val="00972D1D"/>
    <w:rsid w:val="00973BED"/>
    <w:rsid w:val="00973E84"/>
    <w:rsid w:val="00980356"/>
    <w:rsid w:val="00980923"/>
    <w:rsid w:val="00980D92"/>
    <w:rsid w:val="00983A1E"/>
    <w:rsid w:val="00984EB8"/>
    <w:rsid w:val="009875BC"/>
    <w:rsid w:val="009900DA"/>
    <w:rsid w:val="0099173A"/>
    <w:rsid w:val="00992556"/>
    <w:rsid w:val="00993997"/>
    <w:rsid w:val="00994B6B"/>
    <w:rsid w:val="009A2C2D"/>
    <w:rsid w:val="009A402C"/>
    <w:rsid w:val="009A575C"/>
    <w:rsid w:val="009A66EC"/>
    <w:rsid w:val="009A760F"/>
    <w:rsid w:val="009B0809"/>
    <w:rsid w:val="009B3E45"/>
    <w:rsid w:val="009B5CE8"/>
    <w:rsid w:val="009C0627"/>
    <w:rsid w:val="009C1017"/>
    <w:rsid w:val="009C2549"/>
    <w:rsid w:val="009C42E7"/>
    <w:rsid w:val="009C6246"/>
    <w:rsid w:val="009C643C"/>
    <w:rsid w:val="009C691B"/>
    <w:rsid w:val="009D24E4"/>
    <w:rsid w:val="009D42DB"/>
    <w:rsid w:val="009D4B84"/>
    <w:rsid w:val="009D4EDF"/>
    <w:rsid w:val="009D6F2C"/>
    <w:rsid w:val="009E3380"/>
    <w:rsid w:val="009E693F"/>
    <w:rsid w:val="009E7913"/>
    <w:rsid w:val="009F0619"/>
    <w:rsid w:val="009F2E09"/>
    <w:rsid w:val="009F4194"/>
    <w:rsid w:val="009F4F33"/>
    <w:rsid w:val="009F57C2"/>
    <w:rsid w:val="00A003D6"/>
    <w:rsid w:val="00A01E03"/>
    <w:rsid w:val="00A042F9"/>
    <w:rsid w:val="00A077B0"/>
    <w:rsid w:val="00A11C33"/>
    <w:rsid w:val="00A121D4"/>
    <w:rsid w:val="00A128C7"/>
    <w:rsid w:val="00A15C0B"/>
    <w:rsid w:val="00A17262"/>
    <w:rsid w:val="00A215B3"/>
    <w:rsid w:val="00A218C0"/>
    <w:rsid w:val="00A21E52"/>
    <w:rsid w:val="00A225C3"/>
    <w:rsid w:val="00A239C6"/>
    <w:rsid w:val="00A2622B"/>
    <w:rsid w:val="00A3043D"/>
    <w:rsid w:val="00A30D63"/>
    <w:rsid w:val="00A323E0"/>
    <w:rsid w:val="00A3475B"/>
    <w:rsid w:val="00A35EBB"/>
    <w:rsid w:val="00A3692D"/>
    <w:rsid w:val="00A376FD"/>
    <w:rsid w:val="00A37DFB"/>
    <w:rsid w:val="00A445B2"/>
    <w:rsid w:val="00A452B0"/>
    <w:rsid w:val="00A46B48"/>
    <w:rsid w:val="00A50FAF"/>
    <w:rsid w:val="00A5134F"/>
    <w:rsid w:val="00A530F9"/>
    <w:rsid w:val="00A53682"/>
    <w:rsid w:val="00A542FC"/>
    <w:rsid w:val="00A634F3"/>
    <w:rsid w:val="00A63A03"/>
    <w:rsid w:val="00A6734A"/>
    <w:rsid w:val="00A712D6"/>
    <w:rsid w:val="00A7597F"/>
    <w:rsid w:val="00A75C89"/>
    <w:rsid w:val="00A82909"/>
    <w:rsid w:val="00A83437"/>
    <w:rsid w:val="00A84577"/>
    <w:rsid w:val="00A85716"/>
    <w:rsid w:val="00A86027"/>
    <w:rsid w:val="00A906FD"/>
    <w:rsid w:val="00A928E1"/>
    <w:rsid w:val="00A94308"/>
    <w:rsid w:val="00A97614"/>
    <w:rsid w:val="00AA0CF8"/>
    <w:rsid w:val="00AA2AB8"/>
    <w:rsid w:val="00AA31ED"/>
    <w:rsid w:val="00AB1FFB"/>
    <w:rsid w:val="00AB4AB1"/>
    <w:rsid w:val="00AB5911"/>
    <w:rsid w:val="00AB65AD"/>
    <w:rsid w:val="00AB6EB9"/>
    <w:rsid w:val="00AC36CA"/>
    <w:rsid w:val="00AC4974"/>
    <w:rsid w:val="00AC5693"/>
    <w:rsid w:val="00AD0C96"/>
    <w:rsid w:val="00AD10EB"/>
    <w:rsid w:val="00AD3684"/>
    <w:rsid w:val="00AD43BF"/>
    <w:rsid w:val="00AD683E"/>
    <w:rsid w:val="00AD7BDA"/>
    <w:rsid w:val="00AE1F7D"/>
    <w:rsid w:val="00AE35BB"/>
    <w:rsid w:val="00AE498C"/>
    <w:rsid w:val="00AF052A"/>
    <w:rsid w:val="00AF1916"/>
    <w:rsid w:val="00AF52F3"/>
    <w:rsid w:val="00AF685A"/>
    <w:rsid w:val="00B01E60"/>
    <w:rsid w:val="00B130E9"/>
    <w:rsid w:val="00B14231"/>
    <w:rsid w:val="00B16567"/>
    <w:rsid w:val="00B20819"/>
    <w:rsid w:val="00B21F0F"/>
    <w:rsid w:val="00B22B97"/>
    <w:rsid w:val="00B255B1"/>
    <w:rsid w:val="00B32B75"/>
    <w:rsid w:val="00B3410D"/>
    <w:rsid w:val="00B346B5"/>
    <w:rsid w:val="00B355E4"/>
    <w:rsid w:val="00B3708D"/>
    <w:rsid w:val="00B3757E"/>
    <w:rsid w:val="00B40E1D"/>
    <w:rsid w:val="00B43510"/>
    <w:rsid w:val="00B4494F"/>
    <w:rsid w:val="00B453C1"/>
    <w:rsid w:val="00B457DA"/>
    <w:rsid w:val="00B47EC0"/>
    <w:rsid w:val="00B50F93"/>
    <w:rsid w:val="00B55E71"/>
    <w:rsid w:val="00B6011F"/>
    <w:rsid w:val="00B62E49"/>
    <w:rsid w:val="00B63162"/>
    <w:rsid w:val="00B636B1"/>
    <w:rsid w:val="00B64230"/>
    <w:rsid w:val="00B65016"/>
    <w:rsid w:val="00B661F5"/>
    <w:rsid w:val="00B6724A"/>
    <w:rsid w:val="00B71DF9"/>
    <w:rsid w:val="00B748C0"/>
    <w:rsid w:val="00B8010A"/>
    <w:rsid w:val="00B80562"/>
    <w:rsid w:val="00B84224"/>
    <w:rsid w:val="00B854E5"/>
    <w:rsid w:val="00B860B6"/>
    <w:rsid w:val="00B8645E"/>
    <w:rsid w:val="00B87ACE"/>
    <w:rsid w:val="00B905FB"/>
    <w:rsid w:val="00B95FCD"/>
    <w:rsid w:val="00B9687E"/>
    <w:rsid w:val="00BA1C04"/>
    <w:rsid w:val="00BA1F51"/>
    <w:rsid w:val="00BA21F1"/>
    <w:rsid w:val="00BA3105"/>
    <w:rsid w:val="00BA3E3F"/>
    <w:rsid w:val="00BA6587"/>
    <w:rsid w:val="00BA71D7"/>
    <w:rsid w:val="00BB189E"/>
    <w:rsid w:val="00BB1C79"/>
    <w:rsid w:val="00BB6CBE"/>
    <w:rsid w:val="00BC43A7"/>
    <w:rsid w:val="00BC5C6B"/>
    <w:rsid w:val="00BD1647"/>
    <w:rsid w:val="00BD2477"/>
    <w:rsid w:val="00BD4927"/>
    <w:rsid w:val="00BD662C"/>
    <w:rsid w:val="00BE2109"/>
    <w:rsid w:val="00BE70FD"/>
    <w:rsid w:val="00BE7851"/>
    <w:rsid w:val="00BF1DF7"/>
    <w:rsid w:val="00BF2317"/>
    <w:rsid w:val="00BF56F5"/>
    <w:rsid w:val="00BF70A7"/>
    <w:rsid w:val="00C022AE"/>
    <w:rsid w:val="00C05ADA"/>
    <w:rsid w:val="00C10342"/>
    <w:rsid w:val="00C10A47"/>
    <w:rsid w:val="00C114D6"/>
    <w:rsid w:val="00C114FA"/>
    <w:rsid w:val="00C12636"/>
    <w:rsid w:val="00C225B9"/>
    <w:rsid w:val="00C22DF2"/>
    <w:rsid w:val="00C23AFD"/>
    <w:rsid w:val="00C24A21"/>
    <w:rsid w:val="00C25E43"/>
    <w:rsid w:val="00C3119A"/>
    <w:rsid w:val="00C32366"/>
    <w:rsid w:val="00C33053"/>
    <w:rsid w:val="00C35F12"/>
    <w:rsid w:val="00C37832"/>
    <w:rsid w:val="00C40F76"/>
    <w:rsid w:val="00C4179A"/>
    <w:rsid w:val="00C41AE9"/>
    <w:rsid w:val="00C42A69"/>
    <w:rsid w:val="00C432DB"/>
    <w:rsid w:val="00C4356B"/>
    <w:rsid w:val="00C45F80"/>
    <w:rsid w:val="00C531B1"/>
    <w:rsid w:val="00C53DE3"/>
    <w:rsid w:val="00C575D5"/>
    <w:rsid w:val="00C6091E"/>
    <w:rsid w:val="00C63ED8"/>
    <w:rsid w:val="00C74621"/>
    <w:rsid w:val="00C748A2"/>
    <w:rsid w:val="00C82287"/>
    <w:rsid w:val="00C866D7"/>
    <w:rsid w:val="00C872F9"/>
    <w:rsid w:val="00C939F4"/>
    <w:rsid w:val="00C94A9A"/>
    <w:rsid w:val="00C96FA0"/>
    <w:rsid w:val="00CA0EA7"/>
    <w:rsid w:val="00CA13BF"/>
    <w:rsid w:val="00CA2CD2"/>
    <w:rsid w:val="00CA588A"/>
    <w:rsid w:val="00CA756E"/>
    <w:rsid w:val="00CA7790"/>
    <w:rsid w:val="00CB02DE"/>
    <w:rsid w:val="00CB26EA"/>
    <w:rsid w:val="00CB4534"/>
    <w:rsid w:val="00CB71D3"/>
    <w:rsid w:val="00CB7986"/>
    <w:rsid w:val="00CB7A94"/>
    <w:rsid w:val="00CC122C"/>
    <w:rsid w:val="00CC7AF1"/>
    <w:rsid w:val="00CD41CE"/>
    <w:rsid w:val="00CD7E7A"/>
    <w:rsid w:val="00CE08ED"/>
    <w:rsid w:val="00CE69DC"/>
    <w:rsid w:val="00CF1279"/>
    <w:rsid w:val="00CF1418"/>
    <w:rsid w:val="00CF3467"/>
    <w:rsid w:val="00CF427B"/>
    <w:rsid w:val="00CF4B2D"/>
    <w:rsid w:val="00CF4ECA"/>
    <w:rsid w:val="00CF5007"/>
    <w:rsid w:val="00D02C73"/>
    <w:rsid w:val="00D05C29"/>
    <w:rsid w:val="00D06658"/>
    <w:rsid w:val="00D108E1"/>
    <w:rsid w:val="00D14F24"/>
    <w:rsid w:val="00D17AD7"/>
    <w:rsid w:val="00D204EC"/>
    <w:rsid w:val="00D22219"/>
    <w:rsid w:val="00D228E1"/>
    <w:rsid w:val="00D24E68"/>
    <w:rsid w:val="00D24F76"/>
    <w:rsid w:val="00D2637B"/>
    <w:rsid w:val="00D27B0E"/>
    <w:rsid w:val="00D318E8"/>
    <w:rsid w:val="00D3231F"/>
    <w:rsid w:val="00D32E07"/>
    <w:rsid w:val="00D349C1"/>
    <w:rsid w:val="00D35602"/>
    <w:rsid w:val="00D37A57"/>
    <w:rsid w:val="00D401CB"/>
    <w:rsid w:val="00D40623"/>
    <w:rsid w:val="00D4673D"/>
    <w:rsid w:val="00D47708"/>
    <w:rsid w:val="00D52425"/>
    <w:rsid w:val="00D550F5"/>
    <w:rsid w:val="00D552FA"/>
    <w:rsid w:val="00D55F55"/>
    <w:rsid w:val="00D56C95"/>
    <w:rsid w:val="00D5772C"/>
    <w:rsid w:val="00D578F7"/>
    <w:rsid w:val="00D63A45"/>
    <w:rsid w:val="00D63FB7"/>
    <w:rsid w:val="00D657DF"/>
    <w:rsid w:val="00D66338"/>
    <w:rsid w:val="00D66C0A"/>
    <w:rsid w:val="00D70BAD"/>
    <w:rsid w:val="00D71215"/>
    <w:rsid w:val="00D712A2"/>
    <w:rsid w:val="00D725F1"/>
    <w:rsid w:val="00D74C79"/>
    <w:rsid w:val="00D8221C"/>
    <w:rsid w:val="00D8327B"/>
    <w:rsid w:val="00D84300"/>
    <w:rsid w:val="00D85008"/>
    <w:rsid w:val="00D86D6E"/>
    <w:rsid w:val="00D9218F"/>
    <w:rsid w:val="00D9530C"/>
    <w:rsid w:val="00D96DF0"/>
    <w:rsid w:val="00D97535"/>
    <w:rsid w:val="00DA6B99"/>
    <w:rsid w:val="00DB021B"/>
    <w:rsid w:val="00DB08B3"/>
    <w:rsid w:val="00DB31A5"/>
    <w:rsid w:val="00DB335B"/>
    <w:rsid w:val="00DB424C"/>
    <w:rsid w:val="00DB4C86"/>
    <w:rsid w:val="00DB54CF"/>
    <w:rsid w:val="00DB65A7"/>
    <w:rsid w:val="00DC1145"/>
    <w:rsid w:val="00DC34B9"/>
    <w:rsid w:val="00DC3737"/>
    <w:rsid w:val="00DD08F6"/>
    <w:rsid w:val="00DD2A92"/>
    <w:rsid w:val="00DD43BC"/>
    <w:rsid w:val="00DD7B9A"/>
    <w:rsid w:val="00DE1B17"/>
    <w:rsid w:val="00DE33D0"/>
    <w:rsid w:val="00DE3DC8"/>
    <w:rsid w:val="00DE4055"/>
    <w:rsid w:val="00DF053A"/>
    <w:rsid w:val="00DF2611"/>
    <w:rsid w:val="00DF2A17"/>
    <w:rsid w:val="00DF455B"/>
    <w:rsid w:val="00DF49E3"/>
    <w:rsid w:val="00DF5F7C"/>
    <w:rsid w:val="00DF7C02"/>
    <w:rsid w:val="00E03ADA"/>
    <w:rsid w:val="00E065B4"/>
    <w:rsid w:val="00E14089"/>
    <w:rsid w:val="00E14563"/>
    <w:rsid w:val="00E16581"/>
    <w:rsid w:val="00E16B8A"/>
    <w:rsid w:val="00E203E9"/>
    <w:rsid w:val="00E2152B"/>
    <w:rsid w:val="00E24CDF"/>
    <w:rsid w:val="00E2692D"/>
    <w:rsid w:val="00E27E96"/>
    <w:rsid w:val="00E34270"/>
    <w:rsid w:val="00E34DBA"/>
    <w:rsid w:val="00E4521A"/>
    <w:rsid w:val="00E51AC0"/>
    <w:rsid w:val="00E51D1F"/>
    <w:rsid w:val="00E51E67"/>
    <w:rsid w:val="00E5272F"/>
    <w:rsid w:val="00E5357D"/>
    <w:rsid w:val="00E5450E"/>
    <w:rsid w:val="00E549FD"/>
    <w:rsid w:val="00E54F6C"/>
    <w:rsid w:val="00E577E1"/>
    <w:rsid w:val="00E60962"/>
    <w:rsid w:val="00E624C0"/>
    <w:rsid w:val="00E6261B"/>
    <w:rsid w:val="00E6727A"/>
    <w:rsid w:val="00E70123"/>
    <w:rsid w:val="00E749B6"/>
    <w:rsid w:val="00E75699"/>
    <w:rsid w:val="00E81B7A"/>
    <w:rsid w:val="00E82637"/>
    <w:rsid w:val="00E83ED4"/>
    <w:rsid w:val="00E84E3A"/>
    <w:rsid w:val="00E87F21"/>
    <w:rsid w:val="00E937E4"/>
    <w:rsid w:val="00E949C6"/>
    <w:rsid w:val="00E95767"/>
    <w:rsid w:val="00EA162F"/>
    <w:rsid w:val="00EA3A1E"/>
    <w:rsid w:val="00EA488A"/>
    <w:rsid w:val="00EA5549"/>
    <w:rsid w:val="00EB1CA3"/>
    <w:rsid w:val="00EB493B"/>
    <w:rsid w:val="00EB558D"/>
    <w:rsid w:val="00EC1EE3"/>
    <w:rsid w:val="00EC3702"/>
    <w:rsid w:val="00EC5022"/>
    <w:rsid w:val="00ED183E"/>
    <w:rsid w:val="00ED23C9"/>
    <w:rsid w:val="00ED26C2"/>
    <w:rsid w:val="00ED3132"/>
    <w:rsid w:val="00ED4E3D"/>
    <w:rsid w:val="00EE05B6"/>
    <w:rsid w:val="00EE1A75"/>
    <w:rsid w:val="00EE1A7F"/>
    <w:rsid w:val="00EE2336"/>
    <w:rsid w:val="00EF0D88"/>
    <w:rsid w:val="00EF4443"/>
    <w:rsid w:val="00F0037A"/>
    <w:rsid w:val="00F010A3"/>
    <w:rsid w:val="00F01C2A"/>
    <w:rsid w:val="00F0581C"/>
    <w:rsid w:val="00F06B63"/>
    <w:rsid w:val="00F078E9"/>
    <w:rsid w:val="00F11CC5"/>
    <w:rsid w:val="00F1509B"/>
    <w:rsid w:val="00F1714B"/>
    <w:rsid w:val="00F21ACA"/>
    <w:rsid w:val="00F21DD1"/>
    <w:rsid w:val="00F23C0D"/>
    <w:rsid w:val="00F255AD"/>
    <w:rsid w:val="00F25CBE"/>
    <w:rsid w:val="00F3220E"/>
    <w:rsid w:val="00F32CCC"/>
    <w:rsid w:val="00F3309F"/>
    <w:rsid w:val="00F3608D"/>
    <w:rsid w:val="00F36145"/>
    <w:rsid w:val="00F407EE"/>
    <w:rsid w:val="00F40AD1"/>
    <w:rsid w:val="00F41EF9"/>
    <w:rsid w:val="00F4203B"/>
    <w:rsid w:val="00F42420"/>
    <w:rsid w:val="00F45B54"/>
    <w:rsid w:val="00F45BD8"/>
    <w:rsid w:val="00F503CE"/>
    <w:rsid w:val="00F51E22"/>
    <w:rsid w:val="00F534E3"/>
    <w:rsid w:val="00F53E49"/>
    <w:rsid w:val="00F54249"/>
    <w:rsid w:val="00F5553F"/>
    <w:rsid w:val="00F5732F"/>
    <w:rsid w:val="00F64DD6"/>
    <w:rsid w:val="00F71C9D"/>
    <w:rsid w:val="00F72BDB"/>
    <w:rsid w:val="00F7304C"/>
    <w:rsid w:val="00F73C38"/>
    <w:rsid w:val="00F76ACD"/>
    <w:rsid w:val="00F8371A"/>
    <w:rsid w:val="00F848B3"/>
    <w:rsid w:val="00F90453"/>
    <w:rsid w:val="00F90701"/>
    <w:rsid w:val="00F964DC"/>
    <w:rsid w:val="00F9678C"/>
    <w:rsid w:val="00F977C1"/>
    <w:rsid w:val="00FA188F"/>
    <w:rsid w:val="00FA2880"/>
    <w:rsid w:val="00FA4B28"/>
    <w:rsid w:val="00FA4BE3"/>
    <w:rsid w:val="00FA7B88"/>
    <w:rsid w:val="00FB07EA"/>
    <w:rsid w:val="00FB0B16"/>
    <w:rsid w:val="00FB22B3"/>
    <w:rsid w:val="00FB6B9D"/>
    <w:rsid w:val="00FB741D"/>
    <w:rsid w:val="00FC57A0"/>
    <w:rsid w:val="00FC6B97"/>
    <w:rsid w:val="00FC7AFB"/>
    <w:rsid w:val="00FC7E5F"/>
    <w:rsid w:val="00FD107C"/>
    <w:rsid w:val="00FD4E46"/>
    <w:rsid w:val="00FD50B6"/>
    <w:rsid w:val="00FD5899"/>
    <w:rsid w:val="00FD5D63"/>
    <w:rsid w:val="00FD6F61"/>
    <w:rsid w:val="00FD7CBD"/>
    <w:rsid w:val="00FE2044"/>
    <w:rsid w:val="00FE2C12"/>
    <w:rsid w:val="00FE3B8B"/>
    <w:rsid w:val="00FE3D83"/>
    <w:rsid w:val="00FE4C82"/>
    <w:rsid w:val="00FE68D1"/>
    <w:rsid w:val="00FF1F87"/>
    <w:rsid w:val="00FF3054"/>
    <w:rsid w:val="00FF46EA"/>
    <w:rsid w:val="00FF5514"/>
    <w:rsid w:val="00FF55B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EBCB4"/>
  <w15:chartTrackingRefBased/>
  <w15:docId w15:val="{1FBD94CE-33D6-44DB-B193-B6FA492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457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E54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szCs w:val="24"/>
      <w:lang w:val="en-GB" w:eastAsia="en-US"/>
    </w:rPr>
  </w:style>
  <w:style w:type="character" w:styleId="Brojstranice">
    <w:name w:val="page number"/>
    <w:uiPriority w:val="99"/>
    <w:rsid w:val="001E5457"/>
    <w:rPr>
      <w:rFonts w:cs="Times New Roman"/>
    </w:rPr>
  </w:style>
  <w:style w:type="paragraph" w:styleId="Zaglavlje">
    <w:name w:val="header"/>
    <w:basedOn w:val="Normal"/>
    <w:link w:val="ZaglavljeChar"/>
    <w:rsid w:val="00E701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Pr>
      <w:rFonts w:cs="Times New Roman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42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styleId="Odlomakpopisa">
    <w:name w:val="List Paragraph"/>
    <w:basedOn w:val="Normal"/>
    <w:uiPriority w:val="34"/>
    <w:qFormat/>
    <w:rsid w:val="00ED4E3D"/>
    <w:pPr>
      <w:ind w:left="708"/>
    </w:pPr>
  </w:style>
  <w:style w:type="character" w:styleId="Referencakomentara">
    <w:name w:val="annotation reference"/>
    <w:rsid w:val="00B47EC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47EC0"/>
    <w:rPr>
      <w:sz w:val="20"/>
      <w:szCs w:val="20"/>
    </w:rPr>
  </w:style>
  <w:style w:type="character" w:customStyle="1" w:styleId="TekstkomentaraChar">
    <w:name w:val="Tekst komentara Char"/>
    <w:link w:val="Tekstkomentara"/>
    <w:rsid w:val="00B47EC0"/>
    <w:rPr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47EC0"/>
    <w:rPr>
      <w:b/>
      <w:bCs/>
    </w:rPr>
  </w:style>
  <w:style w:type="character" w:customStyle="1" w:styleId="PredmetkomentaraChar">
    <w:name w:val="Predmet komentara Char"/>
    <w:link w:val="Predmetkomentara"/>
    <w:rsid w:val="00B47EC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513D-AB66-4F13-A2DD-0765F844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Krk</vt:lpstr>
      <vt:lpstr>Grad Krk</vt:lpstr>
    </vt:vector>
  </TitlesOfParts>
  <Company>VRTIC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Krk</dc:title>
  <dc:subject/>
  <dc:creator>PRVI</dc:creator>
  <cp:keywords/>
  <dc:description/>
  <cp:lastModifiedBy>Korisnik</cp:lastModifiedBy>
  <cp:revision>4</cp:revision>
  <cp:lastPrinted>2023-07-10T11:39:00Z</cp:lastPrinted>
  <dcterms:created xsi:type="dcterms:W3CDTF">2023-07-11T05:35:00Z</dcterms:created>
  <dcterms:modified xsi:type="dcterms:W3CDTF">2023-07-11T05:36:00Z</dcterms:modified>
</cp:coreProperties>
</file>