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E324" w14:textId="09C778D7" w:rsidR="000C4C59" w:rsidRDefault="00492893" w:rsidP="000C4C59">
      <w:pPr>
        <w:widowControl w:val="0"/>
        <w:suppressAutoHyphens/>
        <w:jc w:val="both"/>
        <w:textAlignment w:val="baseline"/>
        <w:rPr>
          <w:rFonts w:eastAsia="Lucida Sans Unicode"/>
          <w:color w:val="000000"/>
          <w:kern w:val="1"/>
          <w:lang w:eastAsia="zh-CN" w:bidi="hi-IN"/>
        </w:rPr>
      </w:pPr>
      <w:bookmarkStart w:id="0" w:name="_Hlk173227662"/>
      <w:bookmarkEnd w:id="0"/>
      <w:r w:rsidRPr="000C4C59">
        <w:rPr>
          <w:rFonts w:ascii="Calibri" w:hAnsi="Calibri"/>
          <w:noProof/>
          <w:lang w:val="hr-HR"/>
        </w:rPr>
        <w:drawing>
          <wp:inline distT="0" distB="0" distL="0" distR="0" wp14:anchorId="5A658D8C" wp14:editId="69E95BEE">
            <wp:extent cx="61722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23900"/>
                    </a:xfrm>
                    <a:prstGeom prst="rect">
                      <a:avLst/>
                    </a:prstGeom>
                    <a:noFill/>
                    <a:ln>
                      <a:noFill/>
                    </a:ln>
                  </pic:spPr>
                </pic:pic>
              </a:graphicData>
            </a:graphic>
          </wp:inline>
        </w:drawing>
      </w:r>
      <w:r w:rsidR="0011399A">
        <w:rPr>
          <w:rFonts w:eastAsia="Lucida Sans Unicode"/>
          <w:color w:val="000000"/>
          <w:kern w:val="1"/>
          <w:lang w:eastAsia="zh-CN" w:bidi="hi-IN"/>
        </w:rPr>
        <w:t xml:space="preserve">                                                                                                           </w:t>
      </w:r>
    </w:p>
    <w:p w14:paraId="77657A6C" w14:textId="77777777" w:rsidR="000C4C59" w:rsidRDefault="000C4C59" w:rsidP="000C4C59">
      <w:pPr>
        <w:widowControl w:val="0"/>
        <w:suppressAutoHyphens/>
        <w:jc w:val="both"/>
        <w:textAlignment w:val="baseline"/>
        <w:rPr>
          <w:rFonts w:eastAsia="Lucida Sans Unicode"/>
          <w:color w:val="000000"/>
          <w:kern w:val="1"/>
          <w:lang w:eastAsia="zh-CN" w:bidi="hi-IN"/>
        </w:rPr>
      </w:pPr>
    </w:p>
    <w:p w14:paraId="0B1670BB" w14:textId="77777777" w:rsidR="000C4C59" w:rsidRPr="00FA1939" w:rsidRDefault="000C4C59" w:rsidP="000C4C59">
      <w:pPr>
        <w:widowControl w:val="0"/>
        <w:suppressAutoHyphens/>
        <w:jc w:val="both"/>
        <w:textAlignment w:val="baseline"/>
        <w:rPr>
          <w:rFonts w:eastAsia="Calibri"/>
          <w:color w:val="000000"/>
          <w:kern w:val="1"/>
          <w:lang w:val="hr-HR" w:eastAsia="zh-CN" w:bidi="hi-IN"/>
        </w:rPr>
      </w:pPr>
      <w:r w:rsidRPr="00FA1939">
        <w:rPr>
          <w:rFonts w:eastAsia="Lucida Sans Unicode"/>
          <w:color w:val="000000"/>
          <w:kern w:val="1"/>
          <w:lang w:val="hr-HR" w:eastAsia="zh-CN" w:bidi="hi-IN"/>
        </w:rPr>
        <w:t>Republika Hrvatska</w:t>
      </w:r>
    </w:p>
    <w:p w14:paraId="76EF7FBC"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r w:rsidRPr="00FA1939">
        <w:rPr>
          <w:rFonts w:eastAsia="Lucida Sans Unicode"/>
          <w:color w:val="000000"/>
          <w:kern w:val="1"/>
          <w:lang w:val="hr-HR" w:eastAsia="zh-CN" w:bidi="hi-IN"/>
        </w:rPr>
        <w:t>Primorsko – goranska županija</w:t>
      </w:r>
    </w:p>
    <w:p w14:paraId="5D044C47"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p>
    <w:p w14:paraId="08EF18BD"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r w:rsidRPr="00FA1939">
        <w:rPr>
          <w:rFonts w:eastAsia="Lucida Sans Unicode"/>
          <w:color w:val="000000"/>
          <w:kern w:val="1"/>
          <w:lang w:val="hr-HR" w:eastAsia="zh-CN" w:bidi="hi-IN"/>
        </w:rPr>
        <w:t>Grad Krk,</w:t>
      </w:r>
      <w:r w:rsidR="00AC4DD4" w:rsidRPr="00FA1939">
        <w:rPr>
          <w:rFonts w:eastAsia="Lucida Sans Unicode"/>
          <w:color w:val="000000"/>
          <w:kern w:val="1"/>
          <w:lang w:val="hr-HR" w:eastAsia="zh-CN" w:bidi="hi-IN"/>
        </w:rPr>
        <w:t xml:space="preserve"> </w:t>
      </w:r>
      <w:r w:rsidRPr="00FA1939">
        <w:rPr>
          <w:rFonts w:eastAsia="Lucida Sans Unicode"/>
          <w:color w:val="000000"/>
          <w:kern w:val="1"/>
          <w:lang w:val="hr-HR" w:eastAsia="zh-CN" w:bidi="hi-IN"/>
        </w:rPr>
        <w:t>Dječji vrtić</w:t>
      </w:r>
    </w:p>
    <w:p w14:paraId="5794AF13"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r w:rsidRPr="00FA1939">
        <w:rPr>
          <w:rFonts w:eastAsia="Lucida Sans Unicode"/>
          <w:color w:val="000000"/>
          <w:kern w:val="1"/>
          <w:lang w:val="hr-HR" w:eastAsia="zh-CN" w:bidi="hi-IN"/>
        </w:rPr>
        <w:t xml:space="preserve"> Katarina Frankopan</w:t>
      </w:r>
    </w:p>
    <w:p w14:paraId="7E0D5061" w14:textId="77777777" w:rsidR="000C4C59" w:rsidRPr="00FA1939" w:rsidRDefault="000C4C59" w:rsidP="000C4C59">
      <w:pPr>
        <w:widowControl w:val="0"/>
        <w:suppressAutoHyphens/>
        <w:jc w:val="both"/>
        <w:textAlignment w:val="baseline"/>
        <w:rPr>
          <w:rFonts w:eastAsia="Lucida Sans Unicode"/>
          <w:color w:val="FF0000"/>
          <w:kern w:val="1"/>
          <w:lang w:val="hr-HR" w:eastAsia="zh-CN" w:bidi="hi-IN"/>
        </w:rPr>
      </w:pPr>
    </w:p>
    <w:p w14:paraId="5FD18954"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048E5188"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62DA851A"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74312736"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1CBA2A9F"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2D01CDBC"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393E7313"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2BD16836"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1B979DF6"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22939EA4"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1439BCDE" w14:textId="77777777" w:rsidR="000C4C59" w:rsidRPr="001050D2" w:rsidRDefault="000C4C59" w:rsidP="000C4C59">
      <w:pPr>
        <w:widowControl w:val="0"/>
        <w:suppressAutoHyphens/>
        <w:jc w:val="both"/>
        <w:textAlignment w:val="baseline"/>
        <w:rPr>
          <w:rFonts w:eastAsia="Lucida Sans Unicode"/>
          <w:color w:val="FF0000"/>
          <w:kern w:val="1"/>
          <w:lang w:eastAsia="zh-CN" w:bidi="hi-IN"/>
        </w:rPr>
      </w:pPr>
    </w:p>
    <w:p w14:paraId="060F4879" w14:textId="77777777" w:rsidR="000C4C59" w:rsidRPr="001050D2" w:rsidRDefault="000C4C59" w:rsidP="000C4C59">
      <w:pPr>
        <w:widowControl w:val="0"/>
        <w:suppressAutoHyphens/>
        <w:jc w:val="both"/>
        <w:textAlignment w:val="baseline"/>
        <w:rPr>
          <w:rFonts w:eastAsia="Lucida Sans Unicode"/>
          <w:color w:val="000000"/>
          <w:kern w:val="1"/>
          <w:lang w:eastAsia="zh-CN" w:bidi="hi-IN"/>
        </w:rPr>
      </w:pPr>
    </w:p>
    <w:p w14:paraId="135C09CD" w14:textId="77777777" w:rsidR="000C4C59" w:rsidRPr="001050D2" w:rsidRDefault="000C4C59" w:rsidP="000C4C59">
      <w:pPr>
        <w:widowControl w:val="0"/>
        <w:suppressAutoHyphens/>
        <w:textAlignment w:val="baseline"/>
        <w:rPr>
          <w:rFonts w:eastAsia="Lucida Sans Unicode"/>
          <w:color w:val="000000"/>
          <w:kern w:val="1"/>
          <w:lang w:eastAsia="zh-CN" w:bidi="hi-IN"/>
        </w:rPr>
      </w:pPr>
    </w:p>
    <w:p w14:paraId="4CF0A7A8" w14:textId="77777777" w:rsidR="009245B1" w:rsidRDefault="000C4C59" w:rsidP="009245B1">
      <w:pPr>
        <w:ind w:left="567" w:hanging="426"/>
        <w:rPr>
          <w:rFonts w:ascii="Bookman Old Style" w:hAnsi="Bookman Old Style"/>
          <w:b/>
          <w:sz w:val="28"/>
          <w:szCs w:val="28"/>
        </w:rPr>
      </w:pPr>
      <w:r>
        <w:rPr>
          <w:rFonts w:ascii="Bookman Old Style" w:hAnsi="Bookman Old Style"/>
          <w:b/>
          <w:sz w:val="28"/>
          <w:szCs w:val="28"/>
        </w:rPr>
        <w:t>POLUGODIŠNJI IZVJEŠTAJ O IZVRŠENJU FINANC</w:t>
      </w:r>
      <w:r w:rsidRPr="00855539">
        <w:rPr>
          <w:rFonts w:ascii="Bookman Old Style" w:hAnsi="Bookman Old Style"/>
          <w:b/>
          <w:sz w:val="28"/>
          <w:szCs w:val="28"/>
        </w:rPr>
        <w:t xml:space="preserve">IJSKOG </w:t>
      </w:r>
      <w:r>
        <w:rPr>
          <w:rFonts w:ascii="Bookman Old Style" w:hAnsi="Bookman Old Style"/>
          <w:b/>
          <w:sz w:val="28"/>
          <w:szCs w:val="28"/>
        </w:rPr>
        <w:t xml:space="preserve">         </w:t>
      </w:r>
      <w:r w:rsidR="009245B1">
        <w:rPr>
          <w:rFonts w:ascii="Bookman Old Style" w:hAnsi="Bookman Old Style"/>
          <w:b/>
          <w:sz w:val="28"/>
          <w:szCs w:val="28"/>
        </w:rPr>
        <w:t xml:space="preserve">       </w:t>
      </w:r>
      <w:r w:rsidRPr="00855539">
        <w:rPr>
          <w:rFonts w:ascii="Bookman Old Style" w:hAnsi="Bookman Old Style"/>
          <w:b/>
          <w:sz w:val="28"/>
          <w:szCs w:val="28"/>
        </w:rPr>
        <w:t xml:space="preserve">PLANA </w:t>
      </w:r>
      <w:r w:rsidR="009245B1">
        <w:rPr>
          <w:rFonts w:ascii="Bookman Old Style" w:hAnsi="Bookman Old Style"/>
          <w:b/>
          <w:sz w:val="28"/>
          <w:szCs w:val="28"/>
        </w:rPr>
        <w:t xml:space="preserve">PREDŠKOLSKE USTANOVE </w:t>
      </w:r>
      <w:r w:rsidRPr="00855539">
        <w:rPr>
          <w:rFonts w:ascii="Bookman Old Style" w:hAnsi="Bookman Old Style"/>
          <w:b/>
          <w:sz w:val="28"/>
          <w:szCs w:val="28"/>
        </w:rPr>
        <w:t xml:space="preserve">GRAD KRK, </w:t>
      </w:r>
    </w:p>
    <w:p w14:paraId="475CBBFC" w14:textId="77777777" w:rsidR="009245B1" w:rsidRDefault="009245B1" w:rsidP="009245B1">
      <w:pPr>
        <w:ind w:left="426" w:hanging="426"/>
        <w:rPr>
          <w:rFonts w:ascii="Bookman Old Style" w:hAnsi="Bookman Old Style"/>
          <w:b/>
          <w:sz w:val="28"/>
          <w:szCs w:val="28"/>
        </w:rPr>
      </w:pPr>
      <w:r>
        <w:rPr>
          <w:rFonts w:ascii="Bookman Old Style" w:hAnsi="Bookman Old Style"/>
          <w:b/>
          <w:sz w:val="28"/>
          <w:szCs w:val="28"/>
        </w:rPr>
        <w:t xml:space="preserve">         </w:t>
      </w:r>
      <w:r w:rsidR="000C4C59" w:rsidRPr="00855539">
        <w:rPr>
          <w:rFonts w:ascii="Bookman Old Style" w:hAnsi="Bookman Old Style"/>
          <w:b/>
          <w:sz w:val="28"/>
          <w:szCs w:val="28"/>
        </w:rPr>
        <w:t xml:space="preserve"> DJEČJI VRTIĆ </w:t>
      </w:r>
      <w:proofErr w:type="gramStart"/>
      <w:r w:rsidR="000C4C59" w:rsidRPr="00855539">
        <w:rPr>
          <w:rFonts w:ascii="Bookman Old Style" w:hAnsi="Bookman Old Style"/>
          <w:b/>
          <w:sz w:val="28"/>
          <w:szCs w:val="28"/>
        </w:rPr>
        <w:t>KATARINA  FRANKOPAN</w:t>
      </w:r>
      <w:proofErr w:type="gramEnd"/>
      <w:r w:rsidR="000C4C59" w:rsidRPr="00855539">
        <w:rPr>
          <w:rFonts w:ascii="Bookman Old Style" w:hAnsi="Bookman Old Style"/>
          <w:b/>
          <w:sz w:val="28"/>
          <w:szCs w:val="28"/>
        </w:rPr>
        <w:t xml:space="preserve"> </w:t>
      </w:r>
    </w:p>
    <w:p w14:paraId="4BA49839" w14:textId="27F7BB1D" w:rsidR="000C4C59" w:rsidRDefault="009245B1" w:rsidP="009245B1">
      <w:pPr>
        <w:ind w:left="426" w:hanging="426"/>
        <w:rPr>
          <w:rFonts w:ascii="Bookman Old Style" w:hAnsi="Bookman Old Style"/>
          <w:b/>
          <w:sz w:val="28"/>
          <w:szCs w:val="28"/>
        </w:rPr>
      </w:pPr>
      <w:r>
        <w:rPr>
          <w:rFonts w:ascii="Bookman Old Style" w:hAnsi="Bookman Old Style"/>
          <w:b/>
          <w:sz w:val="28"/>
          <w:szCs w:val="28"/>
        </w:rPr>
        <w:t xml:space="preserve">                               </w:t>
      </w:r>
      <w:r w:rsidR="000C4C59">
        <w:rPr>
          <w:rFonts w:ascii="Bookman Old Style" w:hAnsi="Bookman Old Style"/>
          <w:b/>
          <w:sz w:val="28"/>
          <w:szCs w:val="28"/>
        </w:rPr>
        <w:t>ZA 202</w:t>
      </w:r>
      <w:r w:rsidR="00171DFF">
        <w:rPr>
          <w:rFonts w:ascii="Bookman Old Style" w:hAnsi="Bookman Old Style"/>
          <w:b/>
          <w:sz w:val="28"/>
          <w:szCs w:val="28"/>
        </w:rPr>
        <w:t>5</w:t>
      </w:r>
      <w:r w:rsidR="000C4C59">
        <w:rPr>
          <w:rFonts w:ascii="Bookman Old Style" w:hAnsi="Bookman Old Style"/>
          <w:b/>
          <w:sz w:val="28"/>
          <w:szCs w:val="28"/>
        </w:rPr>
        <w:t>. GODINU</w:t>
      </w:r>
    </w:p>
    <w:p w14:paraId="0470AF35" w14:textId="77777777" w:rsidR="000C4C59" w:rsidRPr="00855539" w:rsidRDefault="000C4C59" w:rsidP="000C4C59">
      <w:pPr>
        <w:widowControl w:val="0"/>
        <w:suppressAutoHyphens/>
        <w:jc w:val="both"/>
        <w:textAlignment w:val="baseline"/>
        <w:rPr>
          <w:rFonts w:eastAsia="Lucida Sans Unicode"/>
          <w:color w:val="000000"/>
          <w:kern w:val="1"/>
          <w:sz w:val="28"/>
          <w:szCs w:val="28"/>
          <w:lang w:eastAsia="zh-CN" w:bidi="hi-IN"/>
        </w:rPr>
      </w:pPr>
    </w:p>
    <w:p w14:paraId="71FE3854"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40C3D192" w14:textId="77777777" w:rsidR="000C4C59" w:rsidRPr="001050D2" w:rsidRDefault="000C4C59" w:rsidP="000C4C59">
      <w:pPr>
        <w:widowControl w:val="0"/>
        <w:suppressAutoHyphens/>
        <w:textAlignment w:val="baseline"/>
        <w:rPr>
          <w:rFonts w:eastAsia="Lucida Sans Unicode"/>
          <w:color w:val="000000"/>
          <w:kern w:val="1"/>
          <w:lang w:eastAsia="zh-CN" w:bidi="hi-IN"/>
        </w:rPr>
      </w:pPr>
    </w:p>
    <w:p w14:paraId="334BACF9" w14:textId="77777777" w:rsidR="000C4C59" w:rsidRPr="001050D2" w:rsidRDefault="000C4C59" w:rsidP="000C4C59">
      <w:pPr>
        <w:widowControl w:val="0"/>
        <w:suppressAutoHyphens/>
        <w:textAlignment w:val="baseline"/>
        <w:rPr>
          <w:rFonts w:eastAsia="Lucida Sans Unicode"/>
          <w:color w:val="000000"/>
          <w:kern w:val="1"/>
          <w:lang w:eastAsia="zh-CN" w:bidi="hi-IN"/>
        </w:rPr>
      </w:pPr>
    </w:p>
    <w:p w14:paraId="7937AB9D"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67BF9A19"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3C8798DC"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38FFF95A" w14:textId="77777777" w:rsidR="000C4C59" w:rsidRDefault="000C4C59" w:rsidP="000C4C59">
      <w:pPr>
        <w:widowControl w:val="0"/>
        <w:suppressAutoHyphens/>
        <w:textAlignment w:val="baseline"/>
        <w:rPr>
          <w:rFonts w:eastAsia="Calibri"/>
          <w:color w:val="000000"/>
          <w:kern w:val="1"/>
          <w:lang w:eastAsia="zh-CN" w:bidi="hi-IN"/>
        </w:rPr>
      </w:pPr>
      <w:r w:rsidRPr="001050D2">
        <w:rPr>
          <w:rFonts w:eastAsia="Calibri"/>
          <w:color w:val="000000"/>
          <w:kern w:val="1"/>
          <w:lang w:eastAsia="zh-CN" w:bidi="hi-IN"/>
        </w:rPr>
        <w:t xml:space="preserve">                                                                                                            </w:t>
      </w:r>
    </w:p>
    <w:p w14:paraId="4F0DCBD5" w14:textId="77777777" w:rsidR="000C4C59" w:rsidRDefault="000C4C59" w:rsidP="000C4C59">
      <w:pPr>
        <w:widowControl w:val="0"/>
        <w:suppressAutoHyphens/>
        <w:textAlignment w:val="baseline"/>
        <w:rPr>
          <w:rFonts w:eastAsia="Calibri"/>
          <w:color w:val="000000"/>
          <w:kern w:val="1"/>
          <w:lang w:eastAsia="zh-CN" w:bidi="hi-IN"/>
        </w:rPr>
      </w:pPr>
    </w:p>
    <w:p w14:paraId="5F5197EC" w14:textId="77777777" w:rsidR="000C4C59" w:rsidRDefault="000C4C59" w:rsidP="000C4C59">
      <w:pPr>
        <w:widowControl w:val="0"/>
        <w:suppressAutoHyphens/>
        <w:ind w:left="5664" w:firstLine="708"/>
        <w:textAlignment w:val="baseline"/>
        <w:rPr>
          <w:rFonts w:eastAsia="Calibri"/>
          <w:color w:val="000000"/>
          <w:kern w:val="1"/>
          <w:lang w:eastAsia="zh-CN" w:bidi="hi-IN"/>
        </w:rPr>
      </w:pPr>
      <w:r w:rsidRPr="001050D2">
        <w:rPr>
          <w:rFonts w:eastAsia="Calibri"/>
          <w:color w:val="000000"/>
          <w:kern w:val="1"/>
          <w:lang w:eastAsia="zh-CN" w:bidi="hi-IN"/>
        </w:rPr>
        <w:t xml:space="preserve"> </w:t>
      </w:r>
    </w:p>
    <w:p w14:paraId="583E2800" w14:textId="77777777" w:rsidR="000C4C59" w:rsidRDefault="000C4C59" w:rsidP="000C4C59">
      <w:pPr>
        <w:widowControl w:val="0"/>
        <w:suppressAutoHyphens/>
        <w:ind w:left="5664" w:firstLine="708"/>
        <w:textAlignment w:val="baseline"/>
        <w:rPr>
          <w:rFonts w:eastAsia="Calibri"/>
          <w:color w:val="000000"/>
          <w:kern w:val="1"/>
          <w:lang w:eastAsia="zh-CN" w:bidi="hi-IN"/>
        </w:rPr>
      </w:pPr>
    </w:p>
    <w:p w14:paraId="63917E16" w14:textId="77777777" w:rsidR="000C4C59" w:rsidRDefault="000C4C59" w:rsidP="000C4C59">
      <w:pPr>
        <w:widowControl w:val="0"/>
        <w:suppressAutoHyphens/>
        <w:ind w:left="5664" w:firstLine="708"/>
        <w:textAlignment w:val="baseline"/>
        <w:rPr>
          <w:rFonts w:eastAsia="Calibri"/>
          <w:color w:val="000000"/>
          <w:kern w:val="1"/>
          <w:lang w:eastAsia="zh-CN" w:bidi="hi-IN"/>
        </w:rPr>
      </w:pPr>
    </w:p>
    <w:p w14:paraId="5F9EF605"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70510A76"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700B393D"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799FDA69"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048AD4BA"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5D0F8A4F"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3839CF04"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1CC7AFE3"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33B34C5E" w14:textId="77777777" w:rsidR="000C4C59" w:rsidRDefault="000C4C59" w:rsidP="000C4C59">
      <w:pPr>
        <w:widowControl w:val="0"/>
        <w:suppressAutoHyphens/>
        <w:textAlignment w:val="baseline"/>
        <w:rPr>
          <w:rFonts w:eastAsia="Lucida Sans Unicode"/>
          <w:color w:val="000000"/>
          <w:kern w:val="1"/>
          <w:lang w:eastAsia="zh-CN" w:bidi="hi-IN"/>
        </w:rPr>
      </w:pPr>
    </w:p>
    <w:p w14:paraId="00856EC5" w14:textId="77777777" w:rsidR="000C4C59" w:rsidRDefault="000C4C59" w:rsidP="000C4C59">
      <w:pPr>
        <w:widowControl w:val="0"/>
        <w:suppressAutoHyphens/>
        <w:textAlignment w:val="baseline"/>
        <w:rPr>
          <w:rFonts w:eastAsia="Lucida Sans Unicode"/>
          <w:color w:val="000000"/>
          <w:kern w:val="1"/>
          <w:lang w:eastAsia="zh-CN" w:bidi="hi-IN"/>
        </w:rPr>
      </w:pPr>
    </w:p>
    <w:p w14:paraId="19F72D06" w14:textId="464674DA" w:rsidR="000C4C59" w:rsidRDefault="000C4C59" w:rsidP="000C4C59">
      <w:pPr>
        <w:tabs>
          <w:tab w:val="left" w:pos="6946"/>
        </w:tabs>
        <w:rPr>
          <w:lang w:val="hr-HR"/>
        </w:rPr>
      </w:pPr>
      <w:r>
        <w:rPr>
          <w:rFonts w:eastAsia="Lucida Sans Unicode"/>
          <w:color w:val="000000"/>
          <w:kern w:val="1"/>
          <w:lang w:eastAsia="zh-CN" w:bidi="hi-IN"/>
        </w:rPr>
        <w:t xml:space="preserve">                                                         </w:t>
      </w:r>
      <w:proofErr w:type="spellStart"/>
      <w:r w:rsidRPr="001050D2">
        <w:rPr>
          <w:rFonts w:eastAsia="Lucida Sans Unicode"/>
          <w:color w:val="000000"/>
          <w:kern w:val="1"/>
          <w:lang w:eastAsia="zh-CN" w:bidi="hi-IN"/>
        </w:rPr>
        <w:t>Krk</w:t>
      </w:r>
      <w:proofErr w:type="spellEnd"/>
      <w:r w:rsidRPr="001050D2">
        <w:rPr>
          <w:rFonts w:eastAsia="Lucida Sans Unicode"/>
          <w:color w:val="000000"/>
          <w:kern w:val="1"/>
          <w:lang w:eastAsia="zh-CN" w:bidi="hi-IN"/>
        </w:rPr>
        <w:t xml:space="preserve">, </w:t>
      </w:r>
      <w:proofErr w:type="spellStart"/>
      <w:r>
        <w:rPr>
          <w:rFonts w:eastAsia="Lucida Sans Unicode"/>
          <w:color w:val="000000"/>
          <w:kern w:val="1"/>
          <w:lang w:eastAsia="zh-CN" w:bidi="hi-IN"/>
        </w:rPr>
        <w:t>srpanj</w:t>
      </w:r>
      <w:proofErr w:type="spellEnd"/>
      <w:r>
        <w:rPr>
          <w:rFonts w:eastAsia="Lucida Sans Unicode"/>
          <w:color w:val="000000"/>
          <w:kern w:val="1"/>
          <w:lang w:eastAsia="zh-CN" w:bidi="hi-IN"/>
        </w:rPr>
        <w:t xml:space="preserve"> 202</w:t>
      </w:r>
      <w:r w:rsidR="00171DFF">
        <w:rPr>
          <w:rFonts w:eastAsia="Lucida Sans Unicode"/>
          <w:color w:val="000000"/>
          <w:kern w:val="1"/>
          <w:lang w:eastAsia="zh-CN" w:bidi="hi-IN"/>
        </w:rPr>
        <w:t>5</w:t>
      </w:r>
      <w:r w:rsidRPr="001050D2">
        <w:rPr>
          <w:rFonts w:eastAsia="Lucida Sans Unicode"/>
          <w:color w:val="000000"/>
          <w:kern w:val="1"/>
          <w:lang w:eastAsia="zh-CN" w:bidi="hi-IN"/>
        </w:rPr>
        <w:t>.</w:t>
      </w:r>
    </w:p>
    <w:p w14:paraId="3A86EE29" w14:textId="77777777" w:rsidR="000C4C59" w:rsidRDefault="000C4C59" w:rsidP="00A3692D">
      <w:pPr>
        <w:tabs>
          <w:tab w:val="left" w:pos="6946"/>
        </w:tabs>
        <w:rPr>
          <w:lang w:val="hr-HR"/>
        </w:rPr>
      </w:pPr>
    </w:p>
    <w:p w14:paraId="656B7BF6" w14:textId="77777777" w:rsidR="000C4C59" w:rsidRDefault="00444FCE" w:rsidP="00512A9C">
      <w:pPr>
        <w:ind w:left="1134" w:hanging="1417"/>
        <w:rPr>
          <w:rFonts w:ascii="Bookman Old Style" w:hAnsi="Bookman Old Style"/>
          <w:b/>
          <w:lang w:val="hr-HR"/>
        </w:rPr>
      </w:pPr>
      <w:r w:rsidRPr="00C748A2">
        <w:rPr>
          <w:b/>
          <w:lang w:val="hr-HR"/>
        </w:rPr>
        <w:lastRenderedPageBreak/>
        <w:t xml:space="preserve">     </w:t>
      </w:r>
    </w:p>
    <w:p w14:paraId="677F8573" w14:textId="77777777" w:rsidR="00373F54" w:rsidRPr="00AF6118" w:rsidRDefault="00373F54" w:rsidP="00512A9C">
      <w:pPr>
        <w:spacing w:line="276" w:lineRule="auto"/>
        <w:jc w:val="both"/>
        <w:rPr>
          <w:b/>
          <w:bCs/>
          <w:lang w:val="hr-HR"/>
        </w:rPr>
      </w:pPr>
      <w:r w:rsidRPr="00373F54">
        <w:rPr>
          <w:rFonts w:ascii="Calibri" w:hAnsi="Calibri"/>
          <w:b/>
          <w:lang w:val="hr-HR"/>
        </w:rPr>
        <w:t xml:space="preserve"> </w:t>
      </w:r>
      <w:r w:rsidR="00DF2A17" w:rsidRPr="004C0EAC">
        <w:rPr>
          <w:rFonts w:ascii="Bookman Old Style" w:hAnsi="Bookman Old Style"/>
          <w:sz w:val="22"/>
          <w:szCs w:val="22"/>
          <w:lang w:val="hr-HR"/>
        </w:rPr>
        <w:t xml:space="preserve">      </w:t>
      </w:r>
      <w:r w:rsidRPr="00AF6118">
        <w:rPr>
          <w:b/>
          <w:bCs/>
          <w:lang w:val="hr-HR"/>
        </w:rPr>
        <w:t xml:space="preserve">UVOD </w:t>
      </w:r>
    </w:p>
    <w:p w14:paraId="222F7B00" w14:textId="77777777" w:rsidR="00AF6118" w:rsidRPr="00AF6118" w:rsidRDefault="00AF6118" w:rsidP="00373F54">
      <w:pPr>
        <w:shd w:val="clear" w:color="auto" w:fill="FFFFFF"/>
        <w:tabs>
          <w:tab w:val="left" w:pos="4536"/>
          <w:tab w:val="decimal" w:pos="6663"/>
        </w:tabs>
        <w:spacing w:line="276" w:lineRule="auto"/>
        <w:jc w:val="both"/>
        <w:rPr>
          <w:sz w:val="22"/>
          <w:szCs w:val="22"/>
          <w:lang w:val="hr-HR"/>
        </w:rPr>
      </w:pPr>
    </w:p>
    <w:p w14:paraId="128E69E6" w14:textId="0C912E01" w:rsidR="00373F54" w:rsidRPr="00AF6118" w:rsidRDefault="008B76EC" w:rsidP="00373F54">
      <w:pPr>
        <w:spacing w:line="276" w:lineRule="auto"/>
        <w:jc w:val="both"/>
        <w:rPr>
          <w:sz w:val="22"/>
          <w:szCs w:val="22"/>
          <w:lang w:val="hr-HR"/>
        </w:rPr>
      </w:pPr>
      <w:r>
        <w:rPr>
          <w:sz w:val="22"/>
          <w:szCs w:val="22"/>
          <w:lang w:val="hr-HR"/>
        </w:rPr>
        <w:t xml:space="preserve">     </w:t>
      </w:r>
      <w:r w:rsidR="00373F54" w:rsidRPr="00AF6118">
        <w:rPr>
          <w:sz w:val="22"/>
          <w:szCs w:val="22"/>
          <w:lang w:val="hr-HR"/>
        </w:rPr>
        <w:t>Sadržaj polugodišnjeg izvještaja o izvršenju</w:t>
      </w:r>
      <w:r w:rsidR="00AF6118" w:rsidRPr="00AF6118">
        <w:rPr>
          <w:sz w:val="22"/>
          <w:szCs w:val="22"/>
          <w:lang w:val="hr-HR"/>
        </w:rPr>
        <w:t xml:space="preserve"> financijskog plana</w:t>
      </w:r>
      <w:r w:rsidR="00373F54" w:rsidRPr="00AF6118">
        <w:rPr>
          <w:sz w:val="22"/>
          <w:szCs w:val="22"/>
          <w:lang w:val="hr-HR"/>
        </w:rPr>
        <w:t xml:space="preserve"> propisan je člankom </w:t>
      </w:r>
      <w:r w:rsidR="00AF6118">
        <w:rPr>
          <w:sz w:val="22"/>
          <w:szCs w:val="22"/>
          <w:lang w:val="hr-HR"/>
        </w:rPr>
        <w:t>8</w:t>
      </w:r>
      <w:r w:rsidR="00CA44B7">
        <w:rPr>
          <w:sz w:val="22"/>
          <w:szCs w:val="22"/>
          <w:lang w:val="hr-HR"/>
        </w:rPr>
        <w:t>6</w:t>
      </w:r>
      <w:r w:rsidR="00373F54" w:rsidRPr="00AF6118">
        <w:rPr>
          <w:sz w:val="22"/>
          <w:szCs w:val="22"/>
          <w:lang w:val="hr-HR"/>
        </w:rPr>
        <w:t>. Zakona o proračunu („Narodne novine“ broj</w:t>
      </w:r>
      <w:r w:rsidR="00AF6118">
        <w:rPr>
          <w:sz w:val="22"/>
          <w:szCs w:val="22"/>
          <w:lang w:val="hr-HR"/>
        </w:rPr>
        <w:t xml:space="preserve"> 144/2</w:t>
      </w:r>
      <w:r w:rsidR="00064794">
        <w:rPr>
          <w:sz w:val="22"/>
          <w:szCs w:val="22"/>
          <w:lang w:val="hr-HR"/>
        </w:rPr>
        <w:t>02</w:t>
      </w:r>
      <w:r w:rsidR="00AF6118">
        <w:rPr>
          <w:sz w:val="22"/>
          <w:szCs w:val="22"/>
          <w:lang w:val="hr-HR"/>
        </w:rPr>
        <w:t>1</w:t>
      </w:r>
      <w:r w:rsidR="00373F54" w:rsidRPr="00AF6118">
        <w:rPr>
          <w:sz w:val="22"/>
          <w:szCs w:val="22"/>
          <w:lang w:val="hr-HR"/>
        </w:rPr>
        <w:t>) i člank</w:t>
      </w:r>
      <w:r w:rsidR="00932410">
        <w:rPr>
          <w:sz w:val="22"/>
          <w:szCs w:val="22"/>
          <w:lang w:val="hr-HR"/>
        </w:rPr>
        <w:t>o</w:t>
      </w:r>
      <w:r w:rsidR="00373F54" w:rsidRPr="00AF6118">
        <w:rPr>
          <w:sz w:val="22"/>
          <w:szCs w:val="22"/>
          <w:lang w:val="hr-HR"/>
        </w:rPr>
        <w:t xml:space="preserve">m </w:t>
      </w:r>
      <w:r w:rsidR="00932410">
        <w:rPr>
          <w:sz w:val="22"/>
          <w:szCs w:val="22"/>
          <w:lang w:val="hr-HR"/>
        </w:rPr>
        <w:t>3</w:t>
      </w:r>
      <w:r w:rsidR="00064794">
        <w:rPr>
          <w:sz w:val="22"/>
          <w:szCs w:val="22"/>
          <w:lang w:val="hr-HR"/>
        </w:rPr>
        <w:t>0</w:t>
      </w:r>
      <w:r w:rsidR="00373F54" w:rsidRPr="00AF6118">
        <w:rPr>
          <w:sz w:val="22"/>
          <w:szCs w:val="22"/>
          <w:lang w:val="hr-HR"/>
        </w:rPr>
        <w:t>. Pravilnika o polugodišnjem i godišnjem izvještaju o izvršenju proračuna</w:t>
      </w:r>
      <w:r w:rsidR="00932410">
        <w:rPr>
          <w:sz w:val="22"/>
          <w:szCs w:val="22"/>
          <w:lang w:val="hr-HR"/>
        </w:rPr>
        <w:t xml:space="preserve"> i financijskog plana</w:t>
      </w:r>
      <w:r w:rsidR="00373F54" w:rsidRPr="00AF6118">
        <w:rPr>
          <w:sz w:val="22"/>
          <w:szCs w:val="22"/>
          <w:lang w:val="hr-HR"/>
        </w:rPr>
        <w:t xml:space="preserve"> (“Narodne novine” bro</w:t>
      </w:r>
      <w:r w:rsidR="00932410">
        <w:rPr>
          <w:sz w:val="22"/>
          <w:szCs w:val="22"/>
          <w:lang w:val="hr-HR"/>
        </w:rPr>
        <w:t>j 85/2023</w:t>
      </w:r>
      <w:r w:rsidR="00373F54" w:rsidRPr="00AF6118">
        <w:rPr>
          <w:sz w:val="22"/>
          <w:szCs w:val="22"/>
          <w:lang w:val="hr-HR"/>
        </w:rPr>
        <w:t xml:space="preserve">). </w:t>
      </w:r>
    </w:p>
    <w:p w14:paraId="7C81472F" w14:textId="77777777" w:rsidR="00077A40" w:rsidRPr="00077A40" w:rsidRDefault="00077A40" w:rsidP="00077A40">
      <w:pPr>
        <w:spacing w:line="276" w:lineRule="auto"/>
        <w:jc w:val="both"/>
        <w:rPr>
          <w:sz w:val="22"/>
          <w:szCs w:val="22"/>
          <w:lang w:val="hr-HR"/>
        </w:rPr>
      </w:pPr>
      <w:r w:rsidRPr="00077A40">
        <w:rPr>
          <w:sz w:val="22"/>
          <w:szCs w:val="22"/>
          <w:lang w:val="hr-HR"/>
        </w:rPr>
        <w:t>Polugodišnji izvještaj o izvršenju</w:t>
      </w:r>
      <w:r w:rsidR="00064794">
        <w:rPr>
          <w:sz w:val="22"/>
          <w:szCs w:val="22"/>
          <w:lang w:val="hr-HR"/>
        </w:rPr>
        <w:t xml:space="preserve">  financijskog plana</w:t>
      </w:r>
      <w:r w:rsidRPr="00077A40">
        <w:rPr>
          <w:sz w:val="22"/>
          <w:szCs w:val="22"/>
          <w:lang w:val="hr-HR"/>
        </w:rPr>
        <w:t xml:space="preserve"> </w:t>
      </w:r>
      <w:r w:rsidR="00064794">
        <w:rPr>
          <w:sz w:val="22"/>
          <w:szCs w:val="22"/>
          <w:lang w:val="hr-HR"/>
        </w:rPr>
        <w:t xml:space="preserve"> proračunskog korisnika </w:t>
      </w:r>
      <w:r w:rsidRPr="00077A40">
        <w:rPr>
          <w:sz w:val="22"/>
          <w:szCs w:val="22"/>
          <w:lang w:val="hr-HR"/>
        </w:rPr>
        <w:t>sadrži:</w:t>
      </w:r>
    </w:p>
    <w:p w14:paraId="0694E3D8" w14:textId="77777777" w:rsidR="00077A40" w:rsidRPr="00077A40" w:rsidRDefault="00077A40" w:rsidP="00077A40">
      <w:pPr>
        <w:pStyle w:val="Odlomakpopisa"/>
        <w:numPr>
          <w:ilvl w:val="0"/>
          <w:numId w:val="13"/>
        </w:numPr>
        <w:overflowPunct w:val="0"/>
        <w:autoSpaceDE w:val="0"/>
        <w:autoSpaceDN w:val="0"/>
        <w:adjustRightInd w:val="0"/>
        <w:spacing w:line="276" w:lineRule="auto"/>
        <w:contextualSpacing/>
        <w:textAlignment w:val="baseline"/>
        <w:rPr>
          <w:sz w:val="22"/>
          <w:szCs w:val="22"/>
          <w:lang w:val="hr-HR"/>
        </w:rPr>
      </w:pPr>
      <w:r w:rsidRPr="00077A40">
        <w:rPr>
          <w:sz w:val="22"/>
          <w:szCs w:val="22"/>
          <w:lang w:val="hr-HR"/>
        </w:rPr>
        <w:t>opći dio</w:t>
      </w:r>
      <w:r w:rsidR="00064794">
        <w:rPr>
          <w:sz w:val="22"/>
          <w:szCs w:val="22"/>
          <w:lang w:val="hr-HR"/>
        </w:rPr>
        <w:t>,</w:t>
      </w:r>
    </w:p>
    <w:p w14:paraId="18F57C0F" w14:textId="77777777" w:rsidR="00077A40" w:rsidRPr="00077A40" w:rsidRDefault="00077A40" w:rsidP="00077A40">
      <w:pPr>
        <w:pStyle w:val="Odlomakpopisa"/>
        <w:numPr>
          <w:ilvl w:val="0"/>
          <w:numId w:val="13"/>
        </w:numPr>
        <w:overflowPunct w:val="0"/>
        <w:autoSpaceDE w:val="0"/>
        <w:autoSpaceDN w:val="0"/>
        <w:adjustRightInd w:val="0"/>
        <w:spacing w:line="276" w:lineRule="auto"/>
        <w:contextualSpacing/>
        <w:textAlignment w:val="baseline"/>
        <w:rPr>
          <w:sz w:val="22"/>
          <w:szCs w:val="22"/>
          <w:lang w:val="hr-HR"/>
        </w:rPr>
      </w:pPr>
      <w:r w:rsidRPr="00077A40">
        <w:rPr>
          <w:sz w:val="22"/>
          <w:szCs w:val="22"/>
          <w:lang w:val="hr-HR"/>
        </w:rPr>
        <w:t>posebni dio</w:t>
      </w:r>
      <w:r w:rsidR="00064794">
        <w:rPr>
          <w:sz w:val="22"/>
          <w:szCs w:val="22"/>
          <w:lang w:val="hr-HR"/>
        </w:rPr>
        <w:t>,</w:t>
      </w:r>
    </w:p>
    <w:p w14:paraId="1CA513D5" w14:textId="77777777" w:rsidR="00077A40" w:rsidRPr="00077A40" w:rsidRDefault="00077A40" w:rsidP="00077A40">
      <w:pPr>
        <w:pStyle w:val="Odlomakpopisa"/>
        <w:numPr>
          <w:ilvl w:val="0"/>
          <w:numId w:val="13"/>
        </w:numPr>
        <w:overflowPunct w:val="0"/>
        <w:autoSpaceDE w:val="0"/>
        <w:autoSpaceDN w:val="0"/>
        <w:adjustRightInd w:val="0"/>
        <w:spacing w:line="276" w:lineRule="auto"/>
        <w:contextualSpacing/>
        <w:textAlignment w:val="baseline"/>
        <w:rPr>
          <w:sz w:val="22"/>
          <w:szCs w:val="22"/>
          <w:lang w:val="hr-HR"/>
        </w:rPr>
      </w:pPr>
      <w:r w:rsidRPr="00077A40">
        <w:rPr>
          <w:sz w:val="22"/>
          <w:szCs w:val="22"/>
          <w:lang w:val="hr-HR"/>
        </w:rPr>
        <w:t xml:space="preserve">obrazloženje </w:t>
      </w:r>
      <w:r w:rsidR="00064794">
        <w:rPr>
          <w:sz w:val="22"/>
          <w:szCs w:val="22"/>
          <w:lang w:val="hr-HR"/>
        </w:rPr>
        <w:t>te posebne izvještaje</w:t>
      </w:r>
      <w:r w:rsidR="001E45BA">
        <w:rPr>
          <w:sz w:val="22"/>
          <w:szCs w:val="22"/>
          <w:lang w:val="hr-HR"/>
        </w:rPr>
        <w:t>.</w:t>
      </w:r>
    </w:p>
    <w:p w14:paraId="03F697B1" w14:textId="77777777" w:rsidR="00B6011F" w:rsidRDefault="00A63A03">
      <w:pPr>
        <w:jc w:val="both"/>
        <w:rPr>
          <w:sz w:val="22"/>
          <w:szCs w:val="22"/>
          <w:lang w:val="hr-HR"/>
        </w:rPr>
      </w:pPr>
      <w:r w:rsidRPr="004C0EAC">
        <w:rPr>
          <w:sz w:val="22"/>
          <w:szCs w:val="22"/>
          <w:lang w:val="hr-HR"/>
        </w:rPr>
        <w:t>Grad Krk,</w:t>
      </w:r>
      <w:r w:rsidR="00FD5899" w:rsidRPr="004C0EAC">
        <w:rPr>
          <w:sz w:val="22"/>
          <w:szCs w:val="22"/>
          <w:lang w:val="hr-HR"/>
        </w:rPr>
        <w:t xml:space="preserve"> Dječji vrtić</w:t>
      </w:r>
      <w:r w:rsidR="00DF2A17" w:rsidRPr="004C0EAC">
        <w:rPr>
          <w:sz w:val="22"/>
          <w:szCs w:val="22"/>
          <w:lang w:val="hr-HR"/>
        </w:rPr>
        <w:t xml:space="preserve"> Katarina Frankopan proračunski je korisnik Grada Krka. Ustanova obavlja djelatnost na području otoka Krka</w:t>
      </w:r>
      <w:r w:rsidR="00394A58" w:rsidRPr="004C0EAC">
        <w:rPr>
          <w:sz w:val="22"/>
          <w:szCs w:val="22"/>
          <w:lang w:val="hr-HR"/>
        </w:rPr>
        <w:t>, obuhvaća općine: Omišalj, Malinska-</w:t>
      </w:r>
      <w:proofErr w:type="spellStart"/>
      <w:r w:rsidR="00394A58" w:rsidRPr="004C0EAC">
        <w:rPr>
          <w:sz w:val="22"/>
          <w:szCs w:val="22"/>
          <w:lang w:val="hr-HR"/>
        </w:rPr>
        <w:t>Dubašnica</w:t>
      </w:r>
      <w:proofErr w:type="spellEnd"/>
      <w:r w:rsidR="00394A58" w:rsidRPr="004C0EAC">
        <w:rPr>
          <w:sz w:val="22"/>
          <w:szCs w:val="22"/>
          <w:lang w:val="hr-HR"/>
        </w:rPr>
        <w:t xml:space="preserve">, </w:t>
      </w:r>
      <w:proofErr w:type="spellStart"/>
      <w:r w:rsidR="00394A58" w:rsidRPr="004C0EAC">
        <w:rPr>
          <w:sz w:val="22"/>
          <w:szCs w:val="22"/>
          <w:lang w:val="hr-HR"/>
        </w:rPr>
        <w:t>Dobrinj</w:t>
      </w:r>
      <w:proofErr w:type="spellEnd"/>
      <w:r w:rsidR="00394A58" w:rsidRPr="004C0EAC">
        <w:rPr>
          <w:sz w:val="22"/>
          <w:szCs w:val="22"/>
          <w:lang w:val="hr-HR"/>
        </w:rPr>
        <w:t xml:space="preserve">, Vrbnik, </w:t>
      </w:r>
      <w:r w:rsidR="007671E6">
        <w:rPr>
          <w:sz w:val="22"/>
          <w:szCs w:val="22"/>
          <w:lang w:val="hr-HR"/>
        </w:rPr>
        <w:t xml:space="preserve">Punat, </w:t>
      </w:r>
      <w:r w:rsidR="00394A58" w:rsidRPr="004C0EAC">
        <w:rPr>
          <w:sz w:val="22"/>
          <w:szCs w:val="22"/>
          <w:lang w:val="hr-HR"/>
        </w:rPr>
        <w:t>Baška i Grad Krk.</w:t>
      </w:r>
    </w:p>
    <w:p w14:paraId="26261574" w14:textId="7B208E68" w:rsidR="001E45BA" w:rsidRDefault="001E45BA" w:rsidP="001E45BA">
      <w:pPr>
        <w:jc w:val="both"/>
        <w:rPr>
          <w:sz w:val="22"/>
          <w:szCs w:val="22"/>
          <w:lang w:val="hr-HR"/>
        </w:rPr>
      </w:pPr>
      <w:r w:rsidRPr="004C0EAC">
        <w:rPr>
          <w:sz w:val="22"/>
          <w:szCs w:val="22"/>
          <w:lang w:val="hr-HR"/>
        </w:rPr>
        <w:t>Dječji vrtić financira se proračunskim sredstvima nadležnog proračuna Grada Krka</w:t>
      </w:r>
      <w:r>
        <w:rPr>
          <w:sz w:val="22"/>
          <w:szCs w:val="22"/>
          <w:lang w:val="hr-HR"/>
        </w:rPr>
        <w:t xml:space="preserve">, </w:t>
      </w:r>
      <w:r w:rsidRPr="004C0EAC">
        <w:rPr>
          <w:sz w:val="22"/>
          <w:szCs w:val="22"/>
          <w:lang w:val="hr-HR"/>
        </w:rPr>
        <w:t>sredstvima nenadležnih</w:t>
      </w:r>
      <w:r>
        <w:rPr>
          <w:sz w:val="22"/>
          <w:szCs w:val="22"/>
          <w:lang w:val="hr-HR"/>
        </w:rPr>
        <w:t xml:space="preserve"> proračuna otočkih općina, sredstvima Ministarstva znanosti</w:t>
      </w:r>
      <w:r w:rsidR="0057100B">
        <w:rPr>
          <w:sz w:val="22"/>
          <w:szCs w:val="22"/>
          <w:lang w:val="hr-HR"/>
        </w:rPr>
        <w:t>,</w:t>
      </w:r>
      <w:r>
        <w:rPr>
          <w:sz w:val="22"/>
          <w:szCs w:val="22"/>
          <w:lang w:val="hr-HR"/>
        </w:rPr>
        <w:t xml:space="preserve"> obrazovanja</w:t>
      </w:r>
      <w:r w:rsidR="0057100B">
        <w:rPr>
          <w:sz w:val="22"/>
          <w:szCs w:val="22"/>
          <w:lang w:val="hr-HR"/>
        </w:rPr>
        <w:t xml:space="preserve"> i mladih</w:t>
      </w:r>
      <w:r>
        <w:rPr>
          <w:sz w:val="22"/>
          <w:szCs w:val="22"/>
          <w:lang w:val="hr-HR"/>
        </w:rPr>
        <w:t xml:space="preserve"> za djecu s posebnim potrebama i fiskalnu održivost dječjih vrtića kao i prihoda po posebnim propisima a to su </w:t>
      </w:r>
      <w:r w:rsidRPr="004C0EAC">
        <w:rPr>
          <w:sz w:val="22"/>
          <w:szCs w:val="22"/>
          <w:lang w:val="hr-HR"/>
        </w:rPr>
        <w:t xml:space="preserve"> </w:t>
      </w:r>
      <w:r>
        <w:rPr>
          <w:sz w:val="22"/>
          <w:szCs w:val="22"/>
          <w:lang w:val="hr-HR"/>
        </w:rPr>
        <w:t>uplate roditelja</w:t>
      </w:r>
      <w:r w:rsidRPr="004C0EAC">
        <w:rPr>
          <w:sz w:val="22"/>
          <w:szCs w:val="22"/>
          <w:lang w:val="hr-HR"/>
        </w:rPr>
        <w:t xml:space="preserve"> te ostalih financijskih prihoda (</w:t>
      </w:r>
      <w:r>
        <w:rPr>
          <w:sz w:val="22"/>
          <w:szCs w:val="22"/>
          <w:lang w:val="hr-HR"/>
        </w:rPr>
        <w:t xml:space="preserve"> kamate na depozite po viđenju, prihoda od refundacija za štete i prihoda od donacija trgovačkih društava</w:t>
      </w:r>
      <w:r w:rsidRPr="004C0EAC">
        <w:rPr>
          <w:sz w:val="22"/>
          <w:szCs w:val="22"/>
          <w:lang w:val="hr-HR"/>
        </w:rPr>
        <w:t>).</w:t>
      </w:r>
    </w:p>
    <w:p w14:paraId="1E11C6CE" w14:textId="77777777" w:rsidR="001E45BA" w:rsidRDefault="001E45BA">
      <w:pPr>
        <w:jc w:val="both"/>
        <w:rPr>
          <w:sz w:val="22"/>
          <w:szCs w:val="22"/>
          <w:lang w:val="hr-HR"/>
        </w:rPr>
      </w:pPr>
    </w:p>
    <w:p w14:paraId="2B048123" w14:textId="77777777" w:rsidR="00306CE4" w:rsidRDefault="00306CE4" w:rsidP="00306CE4">
      <w:pPr>
        <w:jc w:val="both"/>
        <w:rPr>
          <w:sz w:val="22"/>
          <w:szCs w:val="22"/>
          <w:lang w:val="hr-HR"/>
        </w:rPr>
      </w:pPr>
      <w:r>
        <w:rPr>
          <w:sz w:val="22"/>
          <w:szCs w:val="22"/>
          <w:lang w:val="hr-HR"/>
        </w:rPr>
        <w:t xml:space="preserve">Grad Krk, </w:t>
      </w:r>
      <w:r w:rsidRPr="004C0EAC">
        <w:rPr>
          <w:sz w:val="22"/>
          <w:szCs w:val="22"/>
          <w:lang w:val="hr-HR"/>
        </w:rPr>
        <w:t xml:space="preserve">Dječji vrtić Katarina Frankopan je ustanova predškolskog </w:t>
      </w:r>
      <w:r>
        <w:rPr>
          <w:sz w:val="22"/>
          <w:szCs w:val="22"/>
          <w:lang w:val="hr-HR"/>
        </w:rPr>
        <w:t>odgoja i obrazovanja te</w:t>
      </w:r>
      <w:r w:rsidRPr="004C0EAC">
        <w:rPr>
          <w:sz w:val="22"/>
          <w:szCs w:val="22"/>
          <w:lang w:val="hr-HR"/>
        </w:rPr>
        <w:t xml:space="preserve"> osigurava skrb za djecu predškolskog uzrasta kao i udovoljavanju potreba roditelja. Ustanova djelu</w:t>
      </w:r>
      <w:r>
        <w:rPr>
          <w:sz w:val="22"/>
          <w:szCs w:val="22"/>
          <w:lang w:val="hr-HR"/>
        </w:rPr>
        <w:t>je u matičnom vrtiću Krk i deset</w:t>
      </w:r>
      <w:r w:rsidRPr="004C0EAC">
        <w:rPr>
          <w:sz w:val="22"/>
          <w:szCs w:val="22"/>
          <w:lang w:val="hr-HR"/>
        </w:rPr>
        <w:t xml:space="preserve"> područnih v</w:t>
      </w:r>
      <w:r>
        <w:rPr>
          <w:sz w:val="22"/>
          <w:szCs w:val="22"/>
          <w:lang w:val="hr-HR"/>
        </w:rPr>
        <w:t xml:space="preserve">rtića </w:t>
      </w:r>
      <w:r w:rsidR="00FF5FD0">
        <w:rPr>
          <w:sz w:val="22"/>
          <w:szCs w:val="22"/>
          <w:lang w:val="hr-HR"/>
        </w:rPr>
        <w:t xml:space="preserve">Omišalj, Njivice, Malinska, Punat, Vrbnik, Baška, Polje, Vrh, Krk i </w:t>
      </w:r>
      <w:proofErr w:type="spellStart"/>
      <w:r w:rsidR="00FF5FD0">
        <w:rPr>
          <w:sz w:val="22"/>
          <w:szCs w:val="22"/>
          <w:lang w:val="hr-HR"/>
        </w:rPr>
        <w:t>Milohnići</w:t>
      </w:r>
      <w:proofErr w:type="spellEnd"/>
      <w:r w:rsidR="00FF5FD0">
        <w:rPr>
          <w:sz w:val="22"/>
          <w:szCs w:val="22"/>
          <w:lang w:val="hr-HR"/>
        </w:rPr>
        <w:t xml:space="preserve"> </w:t>
      </w:r>
      <w:r>
        <w:rPr>
          <w:sz w:val="22"/>
          <w:szCs w:val="22"/>
          <w:lang w:val="hr-HR"/>
        </w:rPr>
        <w:t>u čijem je sastavu 43 odgojn</w:t>
      </w:r>
      <w:r w:rsidR="00FF5FD0">
        <w:rPr>
          <w:sz w:val="22"/>
          <w:szCs w:val="22"/>
          <w:lang w:val="hr-HR"/>
        </w:rPr>
        <w:t>o obrazovnih</w:t>
      </w:r>
      <w:r w:rsidRPr="004C0EAC">
        <w:rPr>
          <w:sz w:val="22"/>
          <w:szCs w:val="22"/>
          <w:lang w:val="hr-HR"/>
        </w:rPr>
        <w:t xml:space="preserve"> skupin</w:t>
      </w:r>
      <w:r>
        <w:rPr>
          <w:sz w:val="22"/>
          <w:szCs w:val="22"/>
          <w:lang w:val="hr-HR"/>
        </w:rPr>
        <w:t>a</w:t>
      </w:r>
      <w:r w:rsidRPr="004C0EAC">
        <w:rPr>
          <w:sz w:val="22"/>
          <w:szCs w:val="22"/>
          <w:lang w:val="hr-HR"/>
        </w:rPr>
        <w:t>.</w:t>
      </w:r>
    </w:p>
    <w:p w14:paraId="66DAED4F" w14:textId="77777777" w:rsidR="00306CE4" w:rsidRDefault="00306CE4">
      <w:pPr>
        <w:jc w:val="both"/>
        <w:rPr>
          <w:sz w:val="22"/>
          <w:szCs w:val="22"/>
          <w:lang w:val="hr-HR"/>
        </w:rPr>
      </w:pPr>
    </w:p>
    <w:p w14:paraId="57B9AF64" w14:textId="6F32015D" w:rsidR="005F45DF" w:rsidRDefault="003C6231" w:rsidP="00841C4E">
      <w:pPr>
        <w:jc w:val="both"/>
        <w:rPr>
          <w:lang w:val="hr-HR"/>
        </w:rPr>
      </w:pPr>
      <w:r w:rsidRPr="00A6734A">
        <w:rPr>
          <w:lang w:val="hr-HR"/>
        </w:rPr>
        <w:t xml:space="preserve"> </w:t>
      </w:r>
      <w:r w:rsidR="001E45BA">
        <w:rPr>
          <w:lang w:val="hr-HR"/>
        </w:rPr>
        <w:t>Financijski plan</w:t>
      </w:r>
      <w:r w:rsidR="005705A6">
        <w:rPr>
          <w:lang w:val="hr-HR"/>
        </w:rPr>
        <w:t xml:space="preserve"> Dječjeg vrtića za 202</w:t>
      </w:r>
      <w:r w:rsidR="0057100B">
        <w:rPr>
          <w:lang w:val="hr-HR"/>
        </w:rPr>
        <w:t>5</w:t>
      </w:r>
      <w:r w:rsidR="00880D88">
        <w:rPr>
          <w:lang w:val="hr-HR"/>
        </w:rPr>
        <w:t>. godinu s projekcijama za 202</w:t>
      </w:r>
      <w:r w:rsidR="0057100B">
        <w:rPr>
          <w:lang w:val="hr-HR"/>
        </w:rPr>
        <w:t>6</w:t>
      </w:r>
      <w:r w:rsidR="00880D88">
        <w:rPr>
          <w:lang w:val="hr-HR"/>
        </w:rPr>
        <w:t>. i 202</w:t>
      </w:r>
      <w:r w:rsidR="0057100B">
        <w:rPr>
          <w:lang w:val="hr-HR"/>
        </w:rPr>
        <w:t>7</w:t>
      </w:r>
      <w:r w:rsidR="00880D88">
        <w:rPr>
          <w:lang w:val="hr-HR"/>
        </w:rPr>
        <w:t xml:space="preserve">. godinu usvojen je </w:t>
      </w:r>
      <w:r w:rsidR="000A2DE5">
        <w:rPr>
          <w:lang w:val="hr-HR"/>
        </w:rPr>
        <w:t xml:space="preserve">dana </w:t>
      </w:r>
      <w:r w:rsidR="00127F08">
        <w:rPr>
          <w:color w:val="000000"/>
          <w:lang w:val="hr-HR"/>
        </w:rPr>
        <w:t>10</w:t>
      </w:r>
      <w:r w:rsidR="005705A6" w:rsidRPr="00B817E8">
        <w:rPr>
          <w:color w:val="000000"/>
          <w:lang w:val="hr-HR"/>
        </w:rPr>
        <w:t>. prosinca 202</w:t>
      </w:r>
      <w:r w:rsidR="00771655">
        <w:rPr>
          <w:color w:val="000000"/>
          <w:lang w:val="hr-HR"/>
        </w:rPr>
        <w:t>4</w:t>
      </w:r>
      <w:r w:rsidR="0091443F" w:rsidRPr="00B817E8">
        <w:rPr>
          <w:color w:val="000000"/>
          <w:lang w:val="hr-HR"/>
        </w:rPr>
        <w:t>.</w:t>
      </w:r>
      <w:r w:rsidR="0091443F">
        <w:rPr>
          <w:lang w:val="hr-HR"/>
        </w:rPr>
        <w:t xml:space="preserve"> godine </w:t>
      </w:r>
      <w:r w:rsidR="00880D88">
        <w:rPr>
          <w:lang w:val="hr-HR"/>
        </w:rPr>
        <w:t xml:space="preserve">na  </w:t>
      </w:r>
      <w:r w:rsidR="001E45BA">
        <w:rPr>
          <w:lang w:val="hr-HR"/>
        </w:rPr>
        <w:t>1</w:t>
      </w:r>
      <w:r w:rsidR="00771655">
        <w:rPr>
          <w:lang w:val="hr-HR"/>
        </w:rPr>
        <w:t>9</w:t>
      </w:r>
      <w:r w:rsidR="0091443F">
        <w:rPr>
          <w:lang w:val="hr-HR"/>
        </w:rPr>
        <w:t>.</w:t>
      </w:r>
      <w:r w:rsidR="00666455">
        <w:rPr>
          <w:lang w:val="hr-HR"/>
        </w:rPr>
        <w:t xml:space="preserve"> </w:t>
      </w:r>
      <w:r w:rsidR="00880D88">
        <w:rPr>
          <w:lang w:val="hr-HR"/>
        </w:rPr>
        <w:t>sjednici Gradskog vijeća Grada Krka</w:t>
      </w:r>
      <w:r w:rsidRPr="00A6734A">
        <w:rPr>
          <w:lang w:val="hr-HR"/>
        </w:rPr>
        <w:t xml:space="preserve"> </w:t>
      </w:r>
      <w:r w:rsidR="0091443F">
        <w:rPr>
          <w:lang w:val="hr-HR"/>
        </w:rPr>
        <w:t xml:space="preserve"> u iznosu </w:t>
      </w:r>
      <w:r w:rsidR="00771655">
        <w:rPr>
          <w:lang w:val="hr-HR"/>
        </w:rPr>
        <w:t>5</w:t>
      </w:r>
      <w:r w:rsidR="000A2DE5">
        <w:rPr>
          <w:lang w:val="hr-HR"/>
        </w:rPr>
        <w:t>.</w:t>
      </w:r>
      <w:r w:rsidR="00771655">
        <w:rPr>
          <w:lang w:val="hr-HR"/>
        </w:rPr>
        <w:t>07</w:t>
      </w:r>
      <w:r w:rsidR="00921BF3">
        <w:rPr>
          <w:lang w:val="hr-HR"/>
        </w:rPr>
        <w:t>8</w:t>
      </w:r>
      <w:r w:rsidR="009637C8">
        <w:rPr>
          <w:lang w:val="hr-HR"/>
        </w:rPr>
        <w:t>.</w:t>
      </w:r>
      <w:r w:rsidR="00921BF3">
        <w:rPr>
          <w:lang w:val="hr-HR"/>
        </w:rPr>
        <w:t>0</w:t>
      </w:r>
      <w:r w:rsidR="009637C8">
        <w:rPr>
          <w:lang w:val="hr-HR"/>
        </w:rPr>
        <w:t xml:space="preserve">00 </w:t>
      </w:r>
      <w:r w:rsidR="008B76EC">
        <w:rPr>
          <w:lang w:val="hr-HR"/>
        </w:rPr>
        <w:t>€</w:t>
      </w:r>
      <w:r w:rsidR="00FA5C94">
        <w:rPr>
          <w:lang w:val="hr-HR"/>
        </w:rPr>
        <w:t xml:space="preserve"> prihoda</w:t>
      </w:r>
      <w:r w:rsidR="009637C8">
        <w:rPr>
          <w:lang w:val="hr-HR"/>
        </w:rPr>
        <w:t xml:space="preserve"> te</w:t>
      </w:r>
      <w:r w:rsidR="000A2DE5">
        <w:rPr>
          <w:lang w:val="hr-HR"/>
        </w:rPr>
        <w:t xml:space="preserve"> u istom iznosu od </w:t>
      </w:r>
      <w:r w:rsidR="00771655">
        <w:rPr>
          <w:lang w:val="hr-HR"/>
        </w:rPr>
        <w:t>5</w:t>
      </w:r>
      <w:r w:rsidR="000A2DE5">
        <w:rPr>
          <w:lang w:val="hr-HR"/>
        </w:rPr>
        <w:t>.</w:t>
      </w:r>
      <w:r w:rsidR="00771655">
        <w:rPr>
          <w:lang w:val="hr-HR"/>
        </w:rPr>
        <w:t>07</w:t>
      </w:r>
      <w:r w:rsidR="00921BF3">
        <w:rPr>
          <w:lang w:val="hr-HR"/>
        </w:rPr>
        <w:t>8</w:t>
      </w:r>
      <w:r w:rsidR="009637C8">
        <w:rPr>
          <w:lang w:val="hr-HR"/>
        </w:rPr>
        <w:t>.</w:t>
      </w:r>
      <w:r w:rsidR="00921BF3">
        <w:rPr>
          <w:lang w:val="hr-HR"/>
        </w:rPr>
        <w:t>0</w:t>
      </w:r>
      <w:r w:rsidR="009637C8">
        <w:rPr>
          <w:lang w:val="hr-HR"/>
        </w:rPr>
        <w:t xml:space="preserve">00 </w:t>
      </w:r>
      <w:r w:rsidR="008B76EC">
        <w:rPr>
          <w:lang w:val="hr-HR"/>
        </w:rPr>
        <w:t>€</w:t>
      </w:r>
      <w:r w:rsidR="009637C8">
        <w:rPr>
          <w:lang w:val="hr-HR"/>
        </w:rPr>
        <w:t xml:space="preserve"> rashoda</w:t>
      </w:r>
      <w:r w:rsidR="00666455">
        <w:rPr>
          <w:lang w:val="hr-HR"/>
        </w:rPr>
        <w:t xml:space="preserve">. </w:t>
      </w:r>
      <w:r w:rsidR="00771655">
        <w:rPr>
          <w:lang w:val="hr-HR"/>
        </w:rPr>
        <w:t>Prijedlog p</w:t>
      </w:r>
      <w:r w:rsidR="004C04C5">
        <w:rPr>
          <w:lang w:val="hr-HR"/>
        </w:rPr>
        <w:t>rv</w:t>
      </w:r>
      <w:r w:rsidR="00771655">
        <w:rPr>
          <w:lang w:val="hr-HR"/>
        </w:rPr>
        <w:t>e</w:t>
      </w:r>
      <w:r w:rsidR="004C04C5">
        <w:rPr>
          <w:lang w:val="hr-HR"/>
        </w:rPr>
        <w:t xml:space="preserve"> izmjen</w:t>
      </w:r>
      <w:r w:rsidR="00771655">
        <w:rPr>
          <w:lang w:val="hr-HR"/>
        </w:rPr>
        <w:t>e</w:t>
      </w:r>
      <w:r w:rsidR="004C04C5">
        <w:rPr>
          <w:lang w:val="hr-HR"/>
        </w:rPr>
        <w:t xml:space="preserve"> financijskog plana za 202</w:t>
      </w:r>
      <w:r w:rsidR="00771655">
        <w:rPr>
          <w:lang w:val="hr-HR"/>
        </w:rPr>
        <w:t>5</w:t>
      </w:r>
      <w:r w:rsidR="004C04C5">
        <w:rPr>
          <w:lang w:val="hr-HR"/>
        </w:rPr>
        <w:t xml:space="preserve">. godinu </w:t>
      </w:r>
      <w:r w:rsidR="00771655">
        <w:rPr>
          <w:lang w:val="hr-HR"/>
        </w:rPr>
        <w:t>je u izradi.</w:t>
      </w:r>
    </w:p>
    <w:p w14:paraId="098A8126" w14:textId="77777777" w:rsidR="00840ABC" w:rsidRDefault="00840ABC" w:rsidP="00841C4E">
      <w:pPr>
        <w:jc w:val="both"/>
        <w:rPr>
          <w:lang w:val="hr-HR"/>
        </w:rPr>
      </w:pPr>
    </w:p>
    <w:p w14:paraId="21893EE9" w14:textId="77777777" w:rsidR="00840ABC" w:rsidRDefault="00840ABC" w:rsidP="005F45DF">
      <w:pPr>
        <w:numPr>
          <w:ilvl w:val="0"/>
          <w:numId w:val="10"/>
        </w:numPr>
        <w:jc w:val="both"/>
        <w:rPr>
          <w:b/>
          <w:sz w:val="22"/>
          <w:szCs w:val="22"/>
          <w:lang w:val="hr-HR"/>
        </w:rPr>
      </w:pPr>
      <w:r w:rsidRPr="00432D26">
        <w:rPr>
          <w:b/>
          <w:sz w:val="22"/>
          <w:szCs w:val="22"/>
          <w:lang w:val="hr-HR"/>
        </w:rPr>
        <w:t>OPĆI DIO</w:t>
      </w:r>
    </w:p>
    <w:p w14:paraId="293F3BA6" w14:textId="77777777" w:rsidR="00077A40" w:rsidRDefault="00077A40" w:rsidP="00077A40">
      <w:pPr>
        <w:jc w:val="both"/>
        <w:rPr>
          <w:b/>
          <w:sz w:val="22"/>
          <w:szCs w:val="22"/>
          <w:lang w:val="hr-HR"/>
        </w:rPr>
      </w:pPr>
    </w:p>
    <w:p w14:paraId="79E02252" w14:textId="77777777" w:rsidR="0014608C" w:rsidRDefault="008B76EC" w:rsidP="00077A40">
      <w:pPr>
        <w:spacing w:line="276" w:lineRule="auto"/>
        <w:jc w:val="both"/>
        <w:rPr>
          <w:sz w:val="22"/>
          <w:szCs w:val="22"/>
          <w:lang w:val="hr-HR"/>
        </w:rPr>
      </w:pPr>
      <w:r>
        <w:rPr>
          <w:sz w:val="22"/>
          <w:szCs w:val="22"/>
          <w:lang w:val="hr-HR"/>
        </w:rPr>
        <w:t xml:space="preserve">     </w:t>
      </w:r>
      <w:r w:rsidR="00077A40" w:rsidRPr="00822382">
        <w:rPr>
          <w:sz w:val="22"/>
          <w:szCs w:val="22"/>
          <w:lang w:val="hr-HR"/>
        </w:rPr>
        <w:t>Opći dio financijskog plana sadrži</w:t>
      </w:r>
      <w:r w:rsidR="0014608C">
        <w:rPr>
          <w:sz w:val="22"/>
          <w:szCs w:val="22"/>
          <w:lang w:val="hr-HR"/>
        </w:rPr>
        <w:t>:</w:t>
      </w:r>
    </w:p>
    <w:p w14:paraId="2691ADE2" w14:textId="77777777" w:rsidR="00296DF7" w:rsidRPr="00822382" w:rsidRDefault="00077A40" w:rsidP="00296DF7">
      <w:pPr>
        <w:numPr>
          <w:ilvl w:val="0"/>
          <w:numId w:val="13"/>
        </w:numPr>
        <w:spacing w:line="276" w:lineRule="auto"/>
        <w:ind w:left="142" w:firstLine="218"/>
        <w:jc w:val="both"/>
        <w:rPr>
          <w:sz w:val="22"/>
          <w:szCs w:val="22"/>
          <w:lang w:val="hr-HR"/>
        </w:rPr>
      </w:pPr>
      <w:r w:rsidRPr="00822382">
        <w:rPr>
          <w:sz w:val="22"/>
          <w:szCs w:val="22"/>
          <w:lang w:val="hr-HR"/>
        </w:rPr>
        <w:t xml:space="preserve"> </w:t>
      </w:r>
      <w:r w:rsidR="006360B9">
        <w:rPr>
          <w:sz w:val="22"/>
          <w:szCs w:val="22"/>
          <w:lang w:val="hr-HR"/>
        </w:rPr>
        <w:t>S</w:t>
      </w:r>
      <w:r w:rsidR="00822382">
        <w:rPr>
          <w:sz w:val="22"/>
          <w:szCs w:val="22"/>
          <w:lang w:val="hr-HR"/>
        </w:rPr>
        <w:t xml:space="preserve">ažetak </w:t>
      </w:r>
      <w:r w:rsidRPr="00822382">
        <w:rPr>
          <w:sz w:val="22"/>
          <w:szCs w:val="22"/>
          <w:lang w:val="hr-HR"/>
        </w:rPr>
        <w:t>Račun</w:t>
      </w:r>
      <w:r w:rsidR="008B76EC">
        <w:rPr>
          <w:sz w:val="22"/>
          <w:szCs w:val="22"/>
          <w:lang w:val="hr-HR"/>
        </w:rPr>
        <w:t>a</w:t>
      </w:r>
      <w:r w:rsidRPr="00822382">
        <w:rPr>
          <w:sz w:val="22"/>
          <w:szCs w:val="22"/>
          <w:lang w:val="hr-HR"/>
        </w:rPr>
        <w:t xml:space="preserve"> prihoda i rashoda i Račun</w:t>
      </w:r>
      <w:r w:rsidR="00822382">
        <w:rPr>
          <w:sz w:val="22"/>
          <w:szCs w:val="22"/>
          <w:lang w:val="hr-HR"/>
        </w:rPr>
        <w:t>a</w:t>
      </w:r>
      <w:r w:rsidRPr="00822382">
        <w:rPr>
          <w:sz w:val="22"/>
          <w:szCs w:val="22"/>
          <w:lang w:val="hr-HR"/>
        </w:rPr>
        <w:t xml:space="preserve"> financiranja</w:t>
      </w:r>
      <w:r w:rsidR="0014608C">
        <w:rPr>
          <w:sz w:val="22"/>
          <w:szCs w:val="22"/>
          <w:lang w:val="hr-HR"/>
        </w:rPr>
        <w:t xml:space="preserve"> koji prikazuje ukupno ostvarenje prihoda i primitaka te rashoda i izdataka na razini razreda ekonomske klasifikacije te razliku između ukupno</w:t>
      </w:r>
      <w:r w:rsidR="0014608C" w:rsidRPr="0014608C">
        <w:rPr>
          <w:sz w:val="22"/>
          <w:szCs w:val="22"/>
          <w:lang w:val="hr-HR"/>
        </w:rPr>
        <w:t xml:space="preserve"> </w:t>
      </w:r>
      <w:r w:rsidR="0014608C">
        <w:rPr>
          <w:sz w:val="22"/>
          <w:szCs w:val="22"/>
          <w:lang w:val="hr-HR"/>
        </w:rPr>
        <w:t xml:space="preserve">ostvarenih prihoda i primitaka te rashoda i izdataka </w:t>
      </w:r>
      <w:r w:rsidR="00296DF7" w:rsidRPr="00822382">
        <w:rPr>
          <w:sz w:val="22"/>
          <w:szCs w:val="22"/>
          <w:lang w:val="hr-HR"/>
        </w:rPr>
        <w:t>za izvještajno razdoblje prethodne i tekuće godine, izvorni plan (odnosno posljednje usvojene izmjene), indeks ostvarenja izvještajnog razdoblja u odnosu na prethodnu godinu, te indeks ostvarenja u odnosu na tekući plan.</w:t>
      </w:r>
    </w:p>
    <w:p w14:paraId="3DC887F3" w14:textId="77777777" w:rsidR="0014608C" w:rsidRDefault="0014608C" w:rsidP="0014608C">
      <w:pPr>
        <w:numPr>
          <w:ilvl w:val="0"/>
          <w:numId w:val="13"/>
        </w:numPr>
        <w:spacing w:line="276" w:lineRule="auto"/>
        <w:ind w:left="142" w:firstLine="218"/>
        <w:jc w:val="both"/>
        <w:rPr>
          <w:sz w:val="22"/>
          <w:szCs w:val="22"/>
          <w:lang w:val="hr-HR"/>
        </w:rPr>
      </w:pPr>
      <w:r>
        <w:rPr>
          <w:sz w:val="22"/>
          <w:szCs w:val="22"/>
          <w:lang w:val="hr-HR"/>
        </w:rPr>
        <w:t xml:space="preserve"> Račun prihoda i rashoda koji sadrži prihode i rashode iskazane </w:t>
      </w:r>
      <w:r w:rsidR="00296DF7">
        <w:rPr>
          <w:sz w:val="22"/>
          <w:szCs w:val="22"/>
          <w:lang w:val="hr-HR"/>
        </w:rPr>
        <w:t xml:space="preserve">prema ekonomskoj klasifikaciji, izvorima financiranja  i </w:t>
      </w:r>
      <w:r>
        <w:rPr>
          <w:sz w:val="22"/>
          <w:szCs w:val="22"/>
          <w:lang w:val="hr-HR"/>
        </w:rPr>
        <w:t xml:space="preserve"> </w:t>
      </w:r>
      <w:r w:rsidR="00296DF7">
        <w:rPr>
          <w:sz w:val="22"/>
          <w:szCs w:val="22"/>
          <w:lang w:val="hr-HR"/>
        </w:rPr>
        <w:t xml:space="preserve">funkcijskoj klasifikaciji </w:t>
      </w:r>
    </w:p>
    <w:p w14:paraId="51144EBE" w14:textId="77777777" w:rsidR="00077A40" w:rsidRPr="00921BF3" w:rsidRDefault="00296DF7" w:rsidP="00B817E8">
      <w:pPr>
        <w:numPr>
          <w:ilvl w:val="0"/>
          <w:numId w:val="13"/>
        </w:numPr>
        <w:spacing w:line="276" w:lineRule="auto"/>
        <w:ind w:left="142" w:firstLine="218"/>
        <w:jc w:val="both"/>
        <w:rPr>
          <w:b/>
          <w:sz w:val="22"/>
          <w:szCs w:val="22"/>
          <w:lang w:val="hr-HR"/>
        </w:rPr>
      </w:pPr>
      <w:r w:rsidRPr="00296DF7">
        <w:rPr>
          <w:sz w:val="22"/>
          <w:szCs w:val="22"/>
          <w:lang w:val="hr-HR"/>
        </w:rPr>
        <w:t>R</w:t>
      </w:r>
      <w:r w:rsidR="0014608C" w:rsidRPr="00296DF7">
        <w:rPr>
          <w:sz w:val="22"/>
          <w:szCs w:val="22"/>
          <w:lang w:val="hr-HR"/>
        </w:rPr>
        <w:t>ačun financiranja</w:t>
      </w:r>
      <w:r w:rsidR="00077A40" w:rsidRPr="00296DF7">
        <w:rPr>
          <w:sz w:val="22"/>
          <w:szCs w:val="22"/>
          <w:lang w:val="hr-HR"/>
        </w:rPr>
        <w:t xml:space="preserve"> u kojima su iskazani podaci o ostvarenim prihodima i primicima, rashodima i izdacima </w:t>
      </w:r>
      <w:r w:rsidR="00822382" w:rsidRPr="00296DF7">
        <w:rPr>
          <w:sz w:val="22"/>
          <w:szCs w:val="22"/>
          <w:lang w:val="hr-HR"/>
        </w:rPr>
        <w:t xml:space="preserve">prema </w:t>
      </w:r>
      <w:r w:rsidRPr="00296DF7">
        <w:rPr>
          <w:sz w:val="22"/>
          <w:szCs w:val="22"/>
          <w:lang w:val="hr-HR"/>
        </w:rPr>
        <w:t xml:space="preserve">ekonomskoj klasifikaciji i </w:t>
      </w:r>
      <w:r w:rsidR="00822382" w:rsidRPr="00296DF7">
        <w:rPr>
          <w:sz w:val="22"/>
          <w:szCs w:val="22"/>
          <w:lang w:val="hr-HR"/>
        </w:rPr>
        <w:t>izvorima financiranja te rashoda iskazanih prema  funkcijskoj klasifikacij</w:t>
      </w:r>
      <w:r w:rsidR="008B76EC" w:rsidRPr="00296DF7">
        <w:rPr>
          <w:sz w:val="22"/>
          <w:szCs w:val="22"/>
          <w:lang w:val="hr-HR"/>
        </w:rPr>
        <w:t>i</w:t>
      </w:r>
      <w:r w:rsidR="00AC15B7">
        <w:rPr>
          <w:sz w:val="22"/>
          <w:szCs w:val="22"/>
          <w:lang w:val="hr-HR"/>
        </w:rPr>
        <w:t>.</w:t>
      </w:r>
    </w:p>
    <w:p w14:paraId="131DA438" w14:textId="77777777" w:rsidR="00921BF3" w:rsidRDefault="00921BF3" w:rsidP="00921BF3">
      <w:pPr>
        <w:spacing w:line="276" w:lineRule="auto"/>
        <w:jc w:val="both"/>
        <w:rPr>
          <w:sz w:val="22"/>
          <w:szCs w:val="22"/>
          <w:lang w:val="hr-HR"/>
        </w:rPr>
      </w:pPr>
    </w:p>
    <w:p w14:paraId="656B50AE" w14:textId="77777777" w:rsidR="00FA1939" w:rsidRDefault="00FA1939" w:rsidP="00AC15B7">
      <w:pPr>
        <w:spacing w:line="276" w:lineRule="auto"/>
        <w:ind w:left="360"/>
        <w:jc w:val="both"/>
        <w:rPr>
          <w:b/>
          <w:bCs/>
          <w:sz w:val="22"/>
          <w:szCs w:val="22"/>
          <w:lang w:val="hr-HR"/>
        </w:rPr>
      </w:pPr>
    </w:p>
    <w:p w14:paraId="505B6C37" w14:textId="77777777" w:rsidR="00FA1939" w:rsidRDefault="00FA1939" w:rsidP="00AC15B7">
      <w:pPr>
        <w:spacing w:line="276" w:lineRule="auto"/>
        <w:ind w:left="360"/>
        <w:jc w:val="both"/>
        <w:rPr>
          <w:b/>
          <w:bCs/>
          <w:sz w:val="22"/>
          <w:szCs w:val="22"/>
          <w:lang w:val="hr-HR"/>
        </w:rPr>
      </w:pPr>
    </w:p>
    <w:p w14:paraId="3CE33B0D" w14:textId="77777777" w:rsidR="00FA1939" w:rsidRDefault="00FA1939" w:rsidP="00AC15B7">
      <w:pPr>
        <w:spacing w:line="276" w:lineRule="auto"/>
        <w:ind w:left="360"/>
        <w:jc w:val="both"/>
        <w:rPr>
          <w:b/>
          <w:bCs/>
          <w:sz w:val="22"/>
          <w:szCs w:val="22"/>
          <w:lang w:val="hr-HR"/>
        </w:rPr>
      </w:pPr>
    </w:p>
    <w:p w14:paraId="5713364C" w14:textId="77777777" w:rsidR="00C820F4" w:rsidRDefault="00C820F4" w:rsidP="00AC15B7">
      <w:pPr>
        <w:spacing w:line="276" w:lineRule="auto"/>
        <w:ind w:left="360"/>
        <w:jc w:val="both"/>
        <w:rPr>
          <w:b/>
          <w:bCs/>
          <w:sz w:val="22"/>
          <w:szCs w:val="22"/>
          <w:lang w:val="hr-HR"/>
        </w:rPr>
      </w:pPr>
    </w:p>
    <w:p w14:paraId="341F7EE3" w14:textId="77777777" w:rsidR="00FA1939" w:rsidRDefault="00FA1939" w:rsidP="00AC15B7">
      <w:pPr>
        <w:spacing w:line="276" w:lineRule="auto"/>
        <w:ind w:left="360"/>
        <w:jc w:val="both"/>
        <w:rPr>
          <w:b/>
          <w:bCs/>
          <w:sz w:val="22"/>
          <w:szCs w:val="22"/>
          <w:lang w:val="hr-HR"/>
        </w:rPr>
      </w:pPr>
    </w:p>
    <w:p w14:paraId="3B44C337" w14:textId="77777777" w:rsidR="009A7CA2" w:rsidRDefault="009A7CA2" w:rsidP="00AC15B7">
      <w:pPr>
        <w:spacing w:line="276" w:lineRule="auto"/>
        <w:ind w:left="360"/>
        <w:jc w:val="both"/>
        <w:rPr>
          <w:b/>
          <w:bCs/>
          <w:sz w:val="22"/>
          <w:szCs w:val="22"/>
          <w:lang w:val="hr-HR"/>
        </w:rPr>
      </w:pPr>
    </w:p>
    <w:p w14:paraId="1DA82376" w14:textId="77777777" w:rsidR="00FA1939" w:rsidRDefault="00FA1939" w:rsidP="00AC15B7">
      <w:pPr>
        <w:spacing w:line="276" w:lineRule="auto"/>
        <w:ind w:left="360"/>
        <w:jc w:val="both"/>
        <w:rPr>
          <w:b/>
          <w:bCs/>
          <w:sz w:val="22"/>
          <w:szCs w:val="22"/>
          <w:lang w:val="hr-HR"/>
        </w:rPr>
      </w:pPr>
    </w:p>
    <w:p w14:paraId="0075CC0A" w14:textId="77777777" w:rsidR="00FA1939" w:rsidRDefault="00FA1939" w:rsidP="00AC15B7">
      <w:pPr>
        <w:spacing w:line="276" w:lineRule="auto"/>
        <w:ind w:left="360"/>
        <w:jc w:val="both"/>
        <w:rPr>
          <w:b/>
          <w:bCs/>
          <w:sz w:val="22"/>
          <w:szCs w:val="22"/>
          <w:lang w:val="hr-HR"/>
        </w:rPr>
      </w:pPr>
    </w:p>
    <w:p w14:paraId="13ED2AF3" w14:textId="77777777" w:rsidR="00FA1939" w:rsidRDefault="00FA1939" w:rsidP="00AC15B7">
      <w:pPr>
        <w:spacing w:line="276" w:lineRule="auto"/>
        <w:ind w:left="360"/>
        <w:jc w:val="both"/>
        <w:rPr>
          <w:b/>
          <w:bCs/>
          <w:sz w:val="22"/>
          <w:szCs w:val="22"/>
          <w:lang w:val="hr-HR"/>
        </w:rPr>
      </w:pPr>
    </w:p>
    <w:p w14:paraId="7331BFF9" w14:textId="42215601" w:rsidR="00AC15B7" w:rsidRDefault="00AC15B7" w:rsidP="00FA1939">
      <w:pPr>
        <w:spacing w:line="276" w:lineRule="auto"/>
        <w:jc w:val="both"/>
        <w:rPr>
          <w:b/>
          <w:bCs/>
          <w:sz w:val="22"/>
          <w:szCs w:val="22"/>
          <w:lang w:val="hr-HR"/>
        </w:rPr>
      </w:pPr>
      <w:r w:rsidRPr="00491058">
        <w:rPr>
          <w:b/>
          <w:bCs/>
          <w:sz w:val="22"/>
          <w:szCs w:val="22"/>
          <w:lang w:val="hr-HR"/>
        </w:rPr>
        <w:lastRenderedPageBreak/>
        <w:t>Tablica 1. Sažetak računa prihoda i rashoda</w:t>
      </w:r>
    </w:p>
    <w:p w14:paraId="69B7BEC1" w14:textId="5CB53309" w:rsidR="007E3C46" w:rsidRPr="00491058" w:rsidRDefault="007E3C46" w:rsidP="00FA1939">
      <w:pPr>
        <w:spacing w:line="276" w:lineRule="auto"/>
        <w:jc w:val="both"/>
        <w:rPr>
          <w:b/>
          <w:bCs/>
          <w:sz w:val="22"/>
          <w:szCs w:val="22"/>
          <w:lang w:val="hr-HR"/>
        </w:rPr>
      </w:pPr>
      <w:r>
        <w:rPr>
          <w:noProof/>
        </w:rPr>
        <w:drawing>
          <wp:inline distT="0" distB="0" distL="0" distR="0" wp14:anchorId="2E73CF9D" wp14:editId="1B2BB790">
            <wp:extent cx="6096000" cy="1771015"/>
            <wp:effectExtent l="0" t="0" r="0" b="635"/>
            <wp:docPr id="13611044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04408" name=""/>
                    <pic:cNvPicPr/>
                  </pic:nvPicPr>
                  <pic:blipFill>
                    <a:blip r:embed="rId9"/>
                    <a:stretch>
                      <a:fillRect/>
                    </a:stretch>
                  </pic:blipFill>
                  <pic:spPr>
                    <a:xfrm>
                      <a:off x="0" y="0"/>
                      <a:ext cx="6096015" cy="1771019"/>
                    </a:xfrm>
                    <a:prstGeom prst="rect">
                      <a:avLst/>
                    </a:prstGeom>
                  </pic:spPr>
                </pic:pic>
              </a:graphicData>
            </a:graphic>
          </wp:inline>
        </w:drawing>
      </w:r>
    </w:p>
    <w:p w14:paraId="489D9AC4" w14:textId="77777777" w:rsidR="000B019A" w:rsidRDefault="000B019A" w:rsidP="00DE0834">
      <w:pPr>
        <w:jc w:val="both"/>
        <w:rPr>
          <w:sz w:val="22"/>
          <w:szCs w:val="22"/>
          <w:lang w:val="hr-HR"/>
        </w:rPr>
      </w:pPr>
    </w:p>
    <w:p w14:paraId="2E02DC75" w14:textId="19D62D89" w:rsidR="00442C49" w:rsidRDefault="007F1F00" w:rsidP="00DE0834">
      <w:pPr>
        <w:jc w:val="both"/>
        <w:rPr>
          <w:sz w:val="22"/>
          <w:szCs w:val="22"/>
          <w:lang w:val="hr-HR"/>
        </w:rPr>
      </w:pPr>
      <w:r>
        <w:rPr>
          <w:sz w:val="22"/>
          <w:szCs w:val="22"/>
          <w:lang w:val="hr-HR"/>
        </w:rPr>
        <w:t>U</w:t>
      </w:r>
      <w:r w:rsidR="00187B1A">
        <w:rPr>
          <w:sz w:val="22"/>
          <w:szCs w:val="22"/>
          <w:lang w:val="hr-HR"/>
        </w:rPr>
        <w:t xml:space="preserve"> prvo</w:t>
      </w:r>
      <w:r>
        <w:rPr>
          <w:sz w:val="22"/>
          <w:szCs w:val="22"/>
          <w:lang w:val="hr-HR"/>
        </w:rPr>
        <w:t>m</w:t>
      </w:r>
      <w:r w:rsidR="00187B1A">
        <w:rPr>
          <w:sz w:val="22"/>
          <w:szCs w:val="22"/>
          <w:lang w:val="hr-HR"/>
        </w:rPr>
        <w:t xml:space="preserve"> polugodišt</w:t>
      </w:r>
      <w:r>
        <w:rPr>
          <w:sz w:val="22"/>
          <w:szCs w:val="22"/>
          <w:lang w:val="hr-HR"/>
        </w:rPr>
        <w:t>u</w:t>
      </w:r>
      <w:r w:rsidR="00442C49">
        <w:rPr>
          <w:sz w:val="22"/>
          <w:szCs w:val="22"/>
          <w:lang w:val="hr-HR"/>
        </w:rPr>
        <w:t xml:space="preserve"> 202</w:t>
      </w:r>
      <w:r w:rsidR="009A7CA2">
        <w:rPr>
          <w:sz w:val="22"/>
          <w:szCs w:val="22"/>
          <w:lang w:val="hr-HR"/>
        </w:rPr>
        <w:t>5</w:t>
      </w:r>
      <w:r w:rsidR="00187B1A">
        <w:rPr>
          <w:sz w:val="22"/>
          <w:szCs w:val="22"/>
          <w:lang w:val="hr-HR"/>
        </w:rPr>
        <w:t>. godine</w:t>
      </w:r>
      <w:r w:rsidR="00442C49" w:rsidRPr="00B87ACE">
        <w:rPr>
          <w:sz w:val="22"/>
          <w:szCs w:val="22"/>
          <w:lang w:val="hr-HR"/>
        </w:rPr>
        <w:t xml:space="preserve"> </w:t>
      </w:r>
      <w:r w:rsidR="00442C49">
        <w:rPr>
          <w:sz w:val="22"/>
          <w:szCs w:val="22"/>
          <w:lang w:val="hr-HR"/>
        </w:rPr>
        <w:t xml:space="preserve"> </w:t>
      </w:r>
      <w:r w:rsidR="00A1279A">
        <w:rPr>
          <w:sz w:val="22"/>
          <w:szCs w:val="22"/>
          <w:lang w:val="hr-HR"/>
        </w:rPr>
        <w:t>n</w:t>
      </w:r>
      <w:r w:rsidR="00A1279A" w:rsidRPr="00B87ACE">
        <w:rPr>
          <w:sz w:val="22"/>
          <w:szCs w:val="22"/>
          <w:lang w:val="hr-HR"/>
        </w:rPr>
        <w:t xml:space="preserve">a razini Ustanove </w:t>
      </w:r>
      <w:r w:rsidR="00442C49">
        <w:rPr>
          <w:sz w:val="22"/>
          <w:szCs w:val="22"/>
          <w:lang w:val="hr-HR"/>
        </w:rPr>
        <w:t>ostvaren</w:t>
      </w:r>
      <w:r>
        <w:rPr>
          <w:sz w:val="22"/>
          <w:szCs w:val="22"/>
          <w:lang w:val="hr-HR"/>
        </w:rPr>
        <w:t>i</w:t>
      </w:r>
      <w:r w:rsidR="00442C49">
        <w:rPr>
          <w:sz w:val="22"/>
          <w:szCs w:val="22"/>
          <w:lang w:val="hr-HR"/>
        </w:rPr>
        <w:t xml:space="preserve"> </w:t>
      </w:r>
      <w:r>
        <w:rPr>
          <w:sz w:val="22"/>
          <w:szCs w:val="22"/>
          <w:lang w:val="hr-HR"/>
        </w:rPr>
        <w:t xml:space="preserve">su ukupni prihodi poslovanja u iznosu </w:t>
      </w:r>
      <w:r w:rsidR="009A7CA2">
        <w:rPr>
          <w:sz w:val="22"/>
          <w:szCs w:val="22"/>
          <w:lang w:val="hr-HR"/>
        </w:rPr>
        <w:t>2</w:t>
      </w:r>
      <w:r>
        <w:rPr>
          <w:sz w:val="22"/>
          <w:szCs w:val="22"/>
          <w:lang w:val="hr-HR"/>
        </w:rPr>
        <w:t>.</w:t>
      </w:r>
      <w:r w:rsidR="009A7CA2">
        <w:rPr>
          <w:sz w:val="22"/>
          <w:szCs w:val="22"/>
          <w:lang w:val="hr-HR"/>
        </w:rPr>
        <w:t>439</w:t>
      </w:r>
      <w:r>
        <w:rPr>
          <w:sz w:val="22"/>
          <w:szCs w:val="22"/>
          <w:lang w:val="hr-HR"/>
        </w:rPr>
        <w:t>.</w:t>
      </w:r>
      <w:r w:rsidR="009A7CA2">
        <w:rPr>
          <w:sz w:val="22"/>
          <w:szCs w:val="22"/>
          <w:lang w:val="hr-HR"/>
        </w:rPr>
        <w:t>646</w:t>
      </w:r>
      <w:r>
        <w:rPr>
          <w:sz w:val="22"/>
          <w:szCs w:val="22"/>
          <w:lang w:val="hr-HR"/>
        </w:rPr>
        <w:t>,</w:t>
      </w:r>
      <w:r w:rsidR="009A7CA2">
        <w:rPr>
          <w:sz w:val="22"/>
          <w:szCs w:val="22"/>
          <w:lang w:val="hr-HR"/>
        </w:rPr>
        <w:t>3</w:t>
      </w:r>
      <w:r>
        <w:rPr>
          <w:sz w:val="22"/>
          <w:szCs w:val="22"/>
          <w:lang w:val="hr-HR"/>
        </w:rPr>
        <w:t xml:space="preserve">1 €, ukupni rashodi poslovanja u iznosu od </w:t>
      </w:r>
      <w:r w:rsidR="009A7CA2">
        <w:rPr>
          <w:sz w:val="22"/>
          <w:szCs w:val="22"/>
          <w:lang w:val="hr-HR"/>
        </w:rPr>
        <w:t>2</w:t>
      </w:r>
      <w:r>
        <w:rPr>
          <w:sz w:val="22"/>
          <w:szCs w:val="22"/>
          <w:lang w:val="hr-HR"/>
        </w:rPr>
        <w:t>.</w:t>
      </w:r>
      <w:r w:rsidR="009A7CA2">
        <w:rPr>
          <w:sz w:val="22"/>
          <w:szCs w:val="22"/>
          <w:lang w:val="hr-HR"/>
        </w:rPr>
        <w:t>423</w:t>
      </w:r>
      <w:r>
        <w:rPr>
          <w:sz w:val="22"/>
          <w:szCs w:val="22"/>
          <w:lang w:val="hr-HR"/>
        </w:rPr>
        <w:t>.</w:t>
      </w:r>
      <w:r w:rsidR="009A7CA2">
        <w:rPr>
          <w:sz w:val="22"/>
          <w:szCs w:val="22"/>
          <w:lang w:val="hr-HR"/>
        </w:rPr>
        <w:t>023</w:t>
      </w:r>
      <w:r>
        <w:rPr>
          <w:sz w:val="22"/>
          <w:szCs w:val="22"/>
          <w:lang w:val="hr-HR"/>
        </w:rPr>
        <w:t>,</w:t>
      </w:r>
      <w:r w:rsidR="009A7CA2">
        <w:rPr>
          <w:sz w:val="22"/>
          <w:szCs w:val="22"/>
          <w:lang w:val="hr-HR"/>
        </w:rPr>
        <w:t>59</w:t>
      </w:r>
      <w:r>
        <w:rPr>
          <w:sz w:val="22"/>
          <w:szCs w:val="22"/>
          <w:lang w:val="hr-HR"/>
        </w:rPr>
        <w:t xml:space="preserve"> € te</w:t>
      </w:r>
      <w:r w:rsidR="00187B1A">
        <w:rPr>
          <w:sz w:val="22"/>
          <w:szCs w:val="22"/>
          <w:lang w:val="hr-HR"/>
        </w:rPr>
        <w:t xml:space="preserve"> </w:t>
      </w:r>
      <w:r w:rsidR="00442C49">
        <w:rPr>
          <w:sz w:val="22"/>
          <w:szCs w:val="22"/>
          <w:lang w:val="hr-HR"/>
        </w:rPr>
        <w:t>viš</w:t>
      </w:r>
      <w:r>
        <w:rPr>
          <w:sz w:val="22"/>
          <w:szCs w:val="22"/>
          <w:lang w:val="hr-HR"/>
        </w:rPr>
        <w:t>ka</w:t>
      </w:r>
      <w:r w:rsidR="00442C49">
        <w:rPr>
          <w:sz w:val="22"/>
          <w:szCs w:val="22"/>
          <w:lang w:val="hr-HR"/>
        </w:rPr>
        <w:t xml:space="preserve"> prihoda poslovanja </w:t>
      </w:r>
      <w:r w:rsidR="00442C49" w:rsidRPr="00B87ACE">
        <w:rPr>
          <w:sz w:val="22"/>
          <w:szCs w:val="22"/>
          <w:lang w:val="hr-HR"/>
        </w:rPr>
        <w:t xml:space="preserve"> u iznosu od </w:t>
      </w:r>
      <w:r w:rsidR="009A7CA2">
        <w:rPr>
          <w:sz w:val="22"/>
          <w:szCs w:val="22"/>
          <w:lang w:val="hr-HR"/>
        </w:rPr>
        <w:t>16</w:t>
      </w:r>
      <w:r w:rsidR="00442C49" w:rsidRPr="00DE0834">
        <w:rPr>
          <w:sz w:val="22"/>
          <w:szCs w:val="22"/>
          <w:lang w:val="hr-HR"/>
        </w:rPr>
        <w:t>.</w:t>
      </w:r>
      <w:r w:rsidR="009A7CA2">
        <w:rPr>
          <w:sz w:val="22"/>
          <w:szCs w:val="22"/>
          <w:lang w:val="hr-HR"/>
        </w:rPr>
        <w:t>622</w:t>
      </w:r>
      <w:r w:rsidR="00442C49" w:rsidRPr="00DE0834">
        <w:rPr>
          <w:sz w:val="22"/>
          <w:szCs w:val="22"/>
          <w:lang w:val="hr-HR"/>
        </w:rPr>
        <w:t>,</w:t>
      </w:r>
      <w:r w:rsidR="009A7CA2">
        <w:rPr>
          <w:sz w:val="22"/>
          <w:szCs w:val="22"/>
          <w:lang w:val="hr-HR"/>
        </w:rPr>
        <w:t>72</w:t>
      </w:r>
      <w:r w:rsidR="00442C49" w:rsidRPr="00DE0834">
        <w:rPr>
          <w:sz w:val="22"/>
          <w:szCs w:val="22"/>
          <w:lang w:val="hr-HR"/>
        </w:rPr>
        <w:t xml:space="preserve"> </w:t>
      </w:r>
      <w:r w:rsidR="004C04C5">
        <w:rPr>
          <w:sz w:val="22"/>
          <w:szCs w:val="22"/>
          <w:lang w:val="hr-HR"/>
        </w:rPr>
        <w:t>€</w:t>
      </w:r>
      <w:r w:rsidR="00442C49" w:rsidRPr="00DE0834">
        <w:rPr>
          <w:sz w:val="22"/>
          <w:szCs w:val="22"/>
          <w:lang w:val="hr-HR"/>
        </w:rPr>
        <w:t xml:space="preserve">. </w:t>
      </w:r>
      <w:r w:rsidR="00442C49" w:rsidRPr="00B87ACE">
        <w:rPr>
          <w:sz w:val="22"/>
          <w:szCs w:val="22"/>
          <w:lang w:val="hr-HR"/>
        </w:rPr>
        <w:t>P</w:t>
      </w:r>
      <w:r w:rsidR="00A1279A">
        <w:rPr>
          <w:sz w:val="22"/>
          <w:szCs w:val="22"/>
          <w:lang w:val="hr-HR"/>
        </w:rPr>
        <w:t>renesen</w:t>
      </w:r>
      <w:r w:rsidR="00450885">
        <w:rPr>
          <w:sz w:val="22"/>
          <w:szCs w:val="22"/>
          <w:lang w:val="hr-HR"/>
        </w:rPr>
        <w:t>i</w:t>
      </w:r>
      <w:r w:rsidR="00A1279A">
        <w:rPr>
          <w:sz w:val="22"/>
          <w:szCs w:val="22"/>
          <w:lang w:val="hr-HR"/>
        </w:rPr>
        <w:t xml:space="preserve"> viš</w:t>
      </w:r>
      <w:r w:rsidR="00450885">
        <w:rPr>
          <w:sz w:val="22"/>
          <w:szCs w:val="22"/>
          <w:lang w:val="hr-HR"/>
        </w:rPr>
        <w:t>ak</w:t>
      </w:r>
      <w:r w:rsidR="00A1279A">
        <w:rPr>
          <w:sz w:val="22"/>
          <w:szCs w:val="22"/>
          <w:lang w:val="hr-HR"/>
        </w:rPr>
        <w:t xml:space="preserve"> poslovanja iz prethodnih godina </w:t>
      </w:r>
      <w:r w:rsidR="009A7CA2">
        <w:rPr>
          <w:sz w:val="22"/>
          <w:szCs w:val="22"/>
          <w:lang w:val="hr-HR"/>
        </w:rPr>
        <w:t>nije ostvaren</w:t>
      </w:r>
      <w:r w:rsidR="00442C49" w:rsidRPr="00B87ACE">
        <w:rPr>
          <w:sz w:val="22"/>
          <w:szCs w:val="22"/>
          <w:lang w:val="hr-HR"/>
        </w:rPr>
        <w:t>.</w:t>
      </w:r>
      <w:r w:rsidR="00442C49">
        <w:rPr>
          <w:sz w:val="22"/>
          <w:szCs w:val="22"/>
          <w:lang w:val="hr-HR"/>
        </w:rPr>
        <w:t xml:space="preserve"> </w:t>
      </w:r>
      <w:r w:rsidR="00442C49" w:rsidRPr="00DE0834">
        <w:rPr>
          <w:sz w:val="22"/>
          <w:szCs w:val="22"/>
          <w:lang w:val="hr-HR"/>
        </w:rPr>
        <w:t>Za financiranje nefinancijske imovine u 202</w:t>
      </w:r>
      <w:r w:rsidR="009A7CA2">
        <w:rPr>
          <w:sz w:val="22"/>
          <w:szCs w:val="22"/>
          <w:lang w:val="hr-HR"/>
        </w:rPr>
        <w:t>5</w:t>
      </w:r>
      <w:r w:rsidR="00442C49" w:rsidRPr="00DE0834">
        <w:rPr>
          <w:sz w:val="22"/>
          <w:szCs w:val="22"/>
          <w:lang w:val="hr-HR"/>
        </w:rPr>
        <w:t xml:space="preserve">. godini </w:t>
      </w:r>
      <w:r w:rsidR="00A1279A" w:rsidRPr="00DE0834">
        <w:rPr>
          <w:sz w:val="22"/>
          <w:szCs w:val="22"/>
          <w:lang w:val="hr-HR"/>
        </w:rPr>
        <w:t xml:space="preserve">utrošeno je </w:t>
      </w:r>
      <w:r w:rsidR="009A7CA2">
        <w:rPr>
          <w:sz w:val="22"/>
          <w:szCs w:val="22"/>
          <w:lang w:val="hr-HR"/>
        </w:rPr>
        <w:t>1</w:t>
      </w:r>
      <w:r>
        <w:rPr>
          <w:sz w:val="22"/>
          <w:szCs w:val="22"/>
          <w:lang w:val="hr-HR"/>
        </w:rPr>
        <w:t>.</w:t>
      </w:r>
      <w:r w:rsidR="009A7CA2">
        <w:rPr>
          <w:sz w:val="22"/>
          <w:szCs w:val="22"/>
          <w:lang w:val="hr-HR"/>
        </w:rPr>
        <w:t>169</w:t>
      </w:r>
      <w:r w:rsidR="00A1279A" w:rsidRPr="00DE0834">
        <w:rPr>
          <w:sz w:val="22"/>
          <w:szCs w:val="22"/>
          <w:lang w:val="hr-HR"/>
        </w:rPr>
        <w:t>,</w:t>
      </w:r>
      <w:r w:rsidR="009A7CA2">
        <w:rPr>
          <w:sz w:val="22"/>
          <w:szCs w:val="22"/>
          <w:lang w:val="hr-HR"/>
        </w:rPr>
        <w:t>10</w:t>
      </w:r>
      <w:r w:rsidR="00A1279A" w:rsidRPr="00DE0834">
        <w:rPr>
          <w:sz w:val="22"/>
          <w:szCs w:val="22"/>
          <w:lang w:val="hr-HR"/>
        </w:rPr>
        <w:t xml:space="preserve"> </w:t>
      </w:r>
      <w:r w:rsidR="004C04C5">
        <w:rPr>
          <w:sz w:val="22"/>
          <w:szCs w:val="22"/>
          <w:lang w:val="hr-HR"/>
        </w:rPr>
        <w:t>€</w:t>
      </w:r>
      <w:r w:rsidR="00A1279A" w:rsidRPr="00DE0834">
        <w:rPr>
          <w:sz w:val="22"/>
          <w:szCs w:val="22"/>
          <w:lang w:val="hr-HR"/>
        </w:rPr>
        <w:t xml:space="preserve"> odnosno </w:t>
      </w:r>
      <w:r w:rsidR="009A7CA2">
        <w:rPr>
          <w:sz w:val="22"/>
          <w:szCs w:val="22"/>
          <w:lang w:val="hr-HR"/>
        </w:rPr>
        <w:t>2</w:t>
      </w:r>
      <w:r w:rsidR="00A1279A" w:rsidRPr="00DE0834">
        <w:rPr>
          <w:sz w:val="22"/>
          <w:szCs w:val="22"/>
          <w:lang w:val="hr-HR"/>
        </w:rPr>
        <w:t>% planiranog financijskim planom za 202</w:t>
      </w:r>
      <w:r w:rsidR="009A7CA2">
        <w:rPr>
          <w:sz w:val="22"/>
          <w:szCs w:val="22"/>
          <w:lang w:val="hr-HR"/>
        </w:rPr>
        <w:t>5</w:t>
      </w:r>
      <w:r w:rsidR="00A1279A" w:rsidRPr="00DE0834">
        <w:rPr>
          <w:sz w:val="22"/>
          <w:szCs w:val="22"/>
          <w:lang w:val="hr-HR"/>
        </w:rPr>
        <w:t>. godinu.</w:t>
      </w:r>
    </w:p>
    <w:p w14:paraId="3ED030AC" w14:textId="77777777" w:rsidR="004C04C5" w:rsidRDefault="004C04C5" w:rsidP="00442C49">
      <w:pPr>
        <w:ind w:firstLine="720"/>
        <w:jc w:val="both"/>
        <w:rPr>
          <w:sz w:val="22"/>
          <w:szCs w:val="22"/>
          <w:lang w:val="hr-HR"/>
        </w:rPr>
      </w:pPr>
    </w:p>
    <w:p w14:paraId="53E80ADA" w14:textId="77777777" w:rsidR="002641FE" w:rsidRDefault="002641FE" w:rsidP="00442C49">
      <w:pPr>
        <w:ind w:firstLine="720"/>
        <w:jc w:val="both"/>
        <w:rPr>
          <w:sz w:val="22"/>
          <w:szCs w:val="22"/>
          <w:lang w:val="hr-HR"/>
        </w:rPr>
      </w:pPr>
    </w:p>
    <w:p w14:paraId="07F53B45" w14:textId="77777777" w:rsidR="00704B81" w:rsidRDefault="003C6231" w:rsidP="00AE5637">
      <w:pPr>
        <w:jc w:val="both"/>
        <w:rPr>
          <w:b/>
          <w:sz w:val="22"/>
          <w:szCs w:val="22"/>
          <w:lang w:val="hr-HR"/>
        </w:rPr>
      </w:pPr>
      <w:r w:rsidRPr="00A6734A">
        <w:rPr>
          <w:lang w:val="hr-HR"/>
        </w:rPr>
        <w:t xml:space="preserve">  </w:t>
      </w:r>
      <w:r w:rsidR="009F57C2" w:rsidRPr="009F57C2">
        <w:rPr>
          <w:b/>
          <w:sz w:val="22"/>
          <w:szCs w:val="22"/>
          <w:lang w:val="hr-HR"/>
        </w:rPr>
        <w:t>R</w:t>
      </w:r>
      <w:r w:rsidR="006D47AB">
        <w:rPr>
          <w:b/>
          <w:sz w:val="22"/>
          <w:szCs w:val="22"/>
          <w:lang w:val="hr-HR"/>
        </w:rPr>
        <w:t>AČUN PRIHODA I RASHODA</w:t>
      </w:r>
    </w:p>
    <w:p w14:paraId="65EF7305" w14:textId="77777777" w:rsidR="00432189" w:rsidRDefault="00432189" w:rsidP="00AE5637">
      <w:pPr>
        <w:jc w:val="both"/>
        <w:rPr>
          <w:b/>
          <w:sz w:val="22"/>
          <w:szCs w:val="22"/>
          <w:lang w:val="hr-HR"/>
        </w:rPr>
      </w:pPr>
    </w:p>
    <w:p w14:paraId="2E1C866C" w14:textId="77777777" w:rsidR="00EE13D8" w:rsidRPr="00FA1939" w:rsidRDefault="00EE13D8" w:rsidP="00EE13D8">
      <w:pPr>
        <w:jc w:val="both"/>
        <w:rPr>
          <w:b/>
          <w:sz w:val="22"/>
          <w:szCs w:val="22"/>
          <w:lang w:val="hr-HR"/>
        </w:rPr>
      </w:pPr>
      <w:r w:rsidRPr="00FA1939">
        <w:rPr>
          <w:b/>
          <w:sz w:val="22"/>
          <w:szCs w:val="22"/>
          <w:lang w:val="hr-HR"/>
        </w:rPr>
        <w:t>Tablica 2. Prihodi  poslovanja po ekonomskoj klasifikaciji</w:t>
      </w:r>
    </w:p>
    <w:tbl>
      <w:tblPr>
        <w:tblW w:w="9324" w:type="dxa"/>
        <w:tblBorders>
          <w:top w:val="double" w:sz="4" w:space="0" w:color="auto"/>
          <w:left w:val="double" w:sz="4" w:space="0" w:color="auto"/>
          <w:bottom w:val="double" w:sz="6" w:space="0" w:color="auto"/>
          <w:right w:val="double" w:sz="4" w:space="0" w:color="auto"/>
          <w:insideH w:val="single" w:sz="4" w:space="0" w:color="auto"/>
          <w:insideV w:val="single" w:sz="4" w:space="0" w:color="auto"/>
        </w:tblBorders>
        <w:tblLook w:val="04A0" w:firstRow="1" w:lastRow="0" w:firstColumn="1" w:lastColumn="0" w:noHBand="0" w:noVBand="1"/>
      </w:tblPr>
      <w:tblGrid>
        <w:gridCol w:w="878"/>
        <w:gridCol w:w="4158"/>
        <w:gridCol w:w="1647"/>
        <w:gridCol w:w="1540"/>
        <w:gridCol w:w="1101"/>
      </w:tblGrid>
      <w:tr w:rsidR="00EE13D8" w:rsidRPr="00FA1939" w14:paraId="4C0A0863" w14:textId="77777777" w:rsidTr="008061B5">
        <w:trPr>
          <w:trHeight w:val="555"/>
        </w:trPr>
        <w:tc>
          <w:tcPr>
            <w:tcW w:w="879" w:type="dxa"/>
            <w:tcBorders>
              <w:bottom w:val="single" w:sz="4" w:space="0" w:color="auto"/>
            </w:tcBorders>
            <w:shd w:val="clear" w:color="000000" w:fill="BFBFBF"/>
            <w:vAlign w:val="center"/>
            <w:hideMark/>
          </w:tcPr>
          <w:p w14:paraId="175D9D87" w14:textId="77777777" w:rsidR="00EE13D8" w:rsidRPr="00FA1939" w:rsidRDefault="00EE13D8" w:rsidP="004C15F2">
            <w:pPr>
              <w:rPr>
                <w:color w:val="000000"/>
                <w:sz w:val="20"/>
                <w:szCs w:val="20"/>
                <w:lang w:val="hr-HR" w:eastAsia="hr-HR"/>
              </w:rPr>
            </w:pPr>
            <w:r w:rsidRPr="00FA1939">
              <w:rPr>
                <w:color w:val="000000"/>
                <w:sz w:val="20"/>
                <w:szCs w:val="20"/>
                <w:lang w:val="hr-HR"/>
              </w:rPr>
              <w:t>Račun prihoda</w:t>
            </w:r>
          </w:p>
        </w:tc>
        <w:tc>
          <w:tcPr>
            <w:tcW w:w="4158" w:type="dxa"/>
            <w:tcBorders>
              <w:bottom w:val="single" w:sz="4" w:space="0" w:color="auto"/>
            </w:tcBorders>
            <w:shd w:val="clear" w:color="000000" w:fill="BFBFBF"/>
            <w:noWrap/>
            <w:vAlign w:val="center"/>
            <w:hideMark/>
          </w:tcPr>
          <w:p w14:paraId="7D70F1AC" w14:textId="77777777" w:rsidR="00EE13D8" w:rsidRPr="00FA1939" w:rsidRDefault="00EE13D8" w:rsidP="004C15F2">
            <w:pPr>
              <w:jc w:val="center"/>
              <w:rPr>
                <w:color w:val="000000"/>
                <w:sz w:val="20"/>
                <w:szCs w:val="20"/>
                <w:lang w:val="hr-HR"/>
              </w:rPr>
            </w:pPr>
            <w:r w:rsidRPr="00FA1939">
              <w:rPr>
                <w:color w:val="000000"/>
                <w:sz w:val="20"/>
                <w:szCs w:val="20"/>
                <w:lang w:val="hr-HR"/>
              </w:rPr>
              <w:t>Prihodi po ekonomskoj klasifikaciji</w:t>
            </w:r>
          </w:p>
        </w:tc>
        <w:tc>
          <w:tcPr>
            <w:tcW w:w="1647" w:type="dxa"/>
            <w:tcBorders>
              <w:bottom w:val="single" w:sz="4" w:space="0" w:color="auto"/>
            </w:tcBorders>
            <w:shd w:val="clear" w:color="000000" w:fill="BFBFBF"/>
            <w:vAlign w:val="center"/>
            <w:hideMark/>
          </w:tcPr>
          <w:p w14:paraId="70F44513" w14:textId="3089FF77" w:rsidR="00EE13D8" w:rsidRPr="00FA1939" w:rsidRDefault="00EE13D8" w:rsidP="004C15F2">
            <w:pPr>
              <w:jc w:val="center"/>
              <w:rPr>
                <w:color w:val="000000"/>
                <w:sz w:val="20"/>
                <w:szCs w:val="20"/>
                <w:lang w:val="hr-HR"/>
              </w:rPr>
            </w:pPr>
            <w:r w:rsidRPr="00FA1939">
              <w:rPr>
                <w:color w:val="000000"/>
                <w:sz w:val="20"/>
                <w:szCs w:val="20"/>
                <w:lang w:val="hr-HR"/>
              </w:rPr>
              <w:t>Ostvarenje 1-6</w:t>
            </w:r>
            <w:r w:rsidR="00FA1939">
              <w:rPr>
                <w:color w:val="000000"/>
                <w:sz w:val="20"/>
                <w:szCs w:val="20"/>
                <w:lang w:val="hr-HR"/>
              </w:rPr>
              <w:t xml:space="preserve"> </w:t>
            </w:r>
            <w:r w:rsidRPr="00FA1939">
              <w:rPr>
                <w:color w:val="000000"/>
                <w:sz w:val="20"/>
                <w:szCs w:val="20"/>
                <w:lang w:val="hr-HR"/>
              </w:rPr>
              <w:t>/</w:t>
            </w:r>
          </w:p>
          <w:p w14:paraId="660AD1D3" w14:textId="6E551AFB" w:rsidR="00EE13D8" w:rsidRPr="00FA1939" w:rsidRDefault="00EE13D8" w:rsidP="004C15F2">
            <w:pPr>
              <w:jc w:val="center"/>
              <w:rPr>
                <w:color w:val="000000"/>
                <w:sz w:val="20"/>
                <w:szCs w:val="20"/>
                <w:lang w:val="hr-HR"/>
              </w:rPr>
            </w:pPr>
            <w:r w:rsidRPr="00FA1939">
              <w:rPr>
                <w:color w:val="000000"/>
                <w:sz w:val="20"/>
                <w:szCs w:val="20"/>
                <w:lang w:val="hr-HR"/>
              </w:rPr>
              <w:t>202</w:t>
            </w:r>
            <w:r w:rsidR="00450885">
              <w:rPr>
                <w:color w:val="000000"/>
                <w:sz w:val="20"/>
                <w:szCs w:val="20"/>
                <w:lang w:val="hr-HR"/>
              </w:rPr>
              <w:t>4</w:t>
            </w:r>
            <w:r w:rsidRPr="00FA1939">
              <w:rPr>
                <w:color w:val="000000"/>
                <w:sz w:val="20"/>
                <w:szCs w:val="20"/>
                <w:lang w:val="hr-HR"/>
              </w:rPr>
              <w:t>. godine</w:t>
            </w:r>
          </w:p>
        </w:tc>
        <w:tc>
          <w:tcPr>
            <w:tcW w:w="1540" w:type="dxa"/>
            <w:tcBorders>
              <w:bottom w:val="single" w:sz="4" w:space="0" w:color="auto"/>
            </w:tcBorders>
            <w:shd w:val="clear" w:color="000000" w:fill="BFBFBF"/>
            <w:vAlign w:val="center"/>
            <w:hideMark/>
          </w:tcPr>
          <w:p w14:paraId="48208975" w14:textId="391A537E" w:rsidR="00EE13D8" w:rsidRPr="00FA1939" w:rsidRDefault="00EE13D8" w:rsidP="004C15F2">
            <w:pPr>
              <w:jc w:val="center"/>
              <w:rPr>
                <w:color w:val="000000"/>
                <w:sz w:val="20"/>
                <w:szCs w:val="20"/>
                <w:lang w:val="hr-HR"/>
              </w:rPr>
            </w:pPr>
            <w:r w:rsidRPr="00FA1939">
              <w:rPr>
                <w:color w:val="000000"/>
                <w:sz w:val="20"/>
                <w:szCs w:val="20"/>
                <w:lang w:val="hr-HR"/>
              </w:rPr>
              <w:t>Ostvarenje 1-6</w:t>
            </w:r>
            <w:r w:rsidR="00FA1939">
              <w:rPr>
                <w:color w:val="000000"/>
                <w:sz w:val="20"/>
                <w:szCs w:val="20"/>
                <w:lang w:val="hr-HR"/>
              </w:rPr>
              <w:t xml:space="preserve"> </w:t>
            </w:r>
            <w:r w:rsidRPr="00FA1939">
              <w:rPr>
                <w:color w:val="000000"/>
                <w:sz w:val="20"/>
                <w:szCs w:val="20"/>
                <w:lang w:val="hr-HR"/>
              </w:rPr>
              <w:t>/</w:t>
            </w:r>
          </w:p>
          <w:p w14:paraId="2346265F" w14:textId="575AC28B" w:rsidR="00EE13D8" w:rsidRPr="00FA1939" w:rsidRDefault="00EE13D8" w:rsidP="00EE13D8">
            <w:pPr>
              <w:rPr>
                <w:color w:val="000000"/>
                <w:sz w:val="20"/>
                <w:szCs w:val="20"/>
                <w:lang w:val="hr-HR"/>
              </w:rPr>
            </w:pPr>
            <w:r w:rsidRPr="00FA1939">
              <w:rPr>
                <w:color w:val="000000"/>
                <w:sz w:val="20"/>
                <w:szCs w:val="20"/>
                <w:lang w:val="hr-HR"/>
              </w:rPr>
              <w:t xml:space="preserve">   202</w:t>
            </w:r>
            <w:r w:rsidR="00450885">
              <w:rPr>
                <w:color w:val="000000"/>
                <w:sz w:val="20"/>
                <w:szCs w:val="20"/>
                <w:lang w:val="hr-HR"/>
              </w:rPr>
              <w:t>5</w:t>
            </w:r>
            <w:r w:rsidRPr="00FA1939">
              <w:rPr>
                <w:color w:val="000000"/>
                <w:sz w:val="20"/>
                <w:szCs w:val="20"/>
                <w:lang w:val="hr-HR"/>
              </w:rPr>
              <w:t>. godinu</w:t>
            </w:r>
          </w:p>
        </w:tc>
        <w:tc>
          <w:tcPr>
            <w:tcW w:w="1100" w:type="dxa"/>
            <w:tcBorders>
              <w:bottom w:val="single" w:sz="4" w:space="0" w:color="auto"/>
            </w:tcBorders>
            <w:shd w:val="clear" w:color="000000" w:fill="BFBFBF"/>
            <w:noWrap/>
            <w:vAlign w:val="center"/>
            <w:hideMark/>
          </w:tcPr>
          <w:p w14:paraId="553ACE52"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Indeks</w:t>
            </w:r>
          </w:p>
        </w:tc>
      </w:tr>
      <w:tr w:rsidR="00EE13D8" w:rsidRPr="00FA1939" w14:paraId="673C1778" w14:textId="77777777" w:rsidTr="008061B5">
        <w:trPr>
          <w:trHeight w:val="170"/>
        </w:trPr>
        <w:tc>
          <w:tcPr>
            <w:tcW w:w="879" w:type="dxa"/>
            <w:tcBorders>
              <w:top w:val="single" w:sz="4" w:space="0" w:color="auto"/>
              <w:bottom w:val="single" w:sz="4" w:space="0" w:color="auto"/>
            </w:tcBorders>
            <w:shd w:val="pct10" w:color="auto" w:fill="auto"/>
            <w:noWrap/>
            <w:vAlign w:val="center"/>
          </w:tcPr>
          <w:p w14:paraId="37F0ADAF" w14:textId="77777777" w:rsidR="00EE13D8" w:rsidRPr="00FA1939" w:rsidRDefault="00EE13D8" w:rsidP="004C15F2">
            <w:pPr>
              <w:jc w:val="center"/>
              <w:rPr>
                <w:rFonts w:ascii="Calibri" w:hAnsi="Calibri" w:cs="Calibri"/>
                <w:b/>
                <w:bCs/>
                <w:color w:val="000000"/>
                <w:sz w:val="20"/>
                <w:szCs w:val="20"/>
                <w:lang w:val="hr-HR"/>
              </w:rPr>
            </w:pPr>
            <w:r w:rsidRPr="00FA1939">
              <w:rPr>
                <w:rFonts w:ascii="Calibri" w:hAnsi="Calibri" w:cs="Calibri"/>
                <w:b/>
                <w:bCs/>
                <w:color w:val="000000"/>
                <w:sz w:val="20"/>
                <w:szCs w:val="20"/>
                <w:lang w:val="hr-HR"/>
              </w:rPr>
              <w:t>1</w:t>
            </w:r>
          </w:p>
        </w:tc>
        <w:tc>
          <w:tcPr>
            <w:tcW w:w="4158" w:type="dxa"/>
            <w:tcBorders>
              <w:top w:val="single" w:sz="4" w:space="0" w:color="auto"/>
              <w:bottom w:val="single" w:sz="4" w:space="0" w:color="auto"/>
            </w:tcBorders>
            <w:shd w:val="pct10" w:color="auto" w:fill="auto"/>
            <w:vAlign w:val="center"/>
          </w:tcPr>
          <w:p w14:paraId="2743E5BF" w14:textId="77777777" w:rsidR="00EE13D8" w:rsidRPr="00FA1939" w:rsidRDefault="00EE13D8" w:rsidP="004C15F2">
            <w:pPr>
              <w:jc w:val="center"/>
              <w:rPr>
                <w:rFonts w:ascii="Calibri" w:hAnsi="Calibri" w:cs="Calibri"/>
                <w:b/>
                <w:bCs/>
                <w:i/>
                <w:iCs/>
                <w:color w:val="000000"/>
                <w:sz w:val="20"/>
                <w:szCs w:val="20"/>
                <w:lang w:val="hr-HR"/>
              </w:rPr>
            </w:pPr>
            <w:r w:rsidRPr="00FA1939">
              <w:rPr>
                <w:rFonts w:ascii="Calibri" w:hAnsi="Calibri" w:cs="Calibri"/>
                <w:b/>
                <w:bCs/>
                <w:i/>
                <w:iCs/>
                <w:color w:val="000000"/>
                <w:sz w:val="20"/>
                <w:szCs w:val="20"/>
                <w:lang w:val="hr-HR"/>
              </w:rPr>
              <w:t>2</w:t>
            </w:r>
          </w:p>
        </w:tc>
        <w:tc>
          <w:tcPr>
            <w:tcW w:w="1647" w:type="dxa"/>
            <w:tcBorders>
              <w:top w:val="single" w:sz="4" w:space="0" w:color="auto"/>
              <w:bottom w:val="single" w:sz="4" w:space="0" w:color="auto"/>
            </w:tcBorders>
            <w:shd w:val="pct10" w:color="auto" w:fill="auto"/>
            <w:noWrap/>
            <w:vAlign w:val="center"/>
          </w:tcPr>
          <w:p w14:paraId="72D19BB0" w14:textId="77777777" w:rsidR="00EE13D8" w:rsidRPr="00FA1939" w:rsidRDefault="00EE13D8" w:rsidP="004C15F2">
            <w:pPr>
              <w:jc w:val="center"/>
              <w:rPr>
                <w:rFonts w:ascii="Calibri" w:hAnsi="Calibri" w:cs="Calibri"/>
                <w:b/>
                <w:bCs/>
                <w:i/>
                <w:iCs/>
                <w:color w:val="000000"/>
                <w:sz w:val="20"/>
                <w:szCs w:val="20"/>
                <w:lang w:val="hr-HR"/>
              </w:rPr>
            </w:pPr>
            <w:r w:rsidRPr="00FA1939">
              <w:rPr>
                <w:rFonts w:ascii="Calibri" w:hAnsi="Calibri" w:cs="Calibri"/>
                <w:b/>
                <w:bCs/>
                <w:i/>
                <w:iCs/>
                <w:color w:val="000000"/>
                <w:sz w:val="20"/>
                <w:szCs w:val="20"/>
                <w:lang w:val="hr-HR"/>
              </w:rPr>
              <w:t>3</w:t>
            </w:r>
          </w:p>
        </w:tc>
        <w:tc>
          <w:tcPr>
            <w:tcW w:w="1540" w:type="dxa"/>
            <w:tcBorders>
              <w:top w:val="single" w:sz="4" w:space="0" w:color="auto"/>
              <w:bottom w:val="single" w:sz="4" w:space="0" w:color="auto"/>
            </w:tcBorders>
            <w:shd w:val="pct10" w:color="auto" w:fill="auto"/>
            <w:noWrap/>
            <w:vAlign w:val="center"/>
          </w:tcPr>
          <w:p w14:paraId="6E4E9DD4" w14:textId="77777777" w:rsidR="00EE13D8" w:rsidRPr="00FA1939" w:rsidRDefault="00EE13D8" w:rsidP="004C15F2">
            <w:pPr>
              <w:jc w:val="center"/>
              <w:rPr>
                <w:rFonts w:ascii="Calibri" w:hAnsi="Calibri" w:cs="Calibri"/>
                <w:b/>
                <w:bCs/>
                <w:i/>
                <w:iCs/>
                <w:color w:val="000000"/>
                <w:sz w:val="20"/>
                <w:szCs w:val="20"/>
                <w:lang w:val="hr-HR"/>
              </w:rPr>
            </w:pPr>
            <w:r w:rsidRPr="00FA1939">
              <w:rPr>
                <w:rFonts w:ascii="Calibri" w:hAnsi="Calibri" w:cs="Calibri"/>
                <w:b/>
                <w:bCs/>
                <w:i/>
                <w:iCs/>
                <w:color w:val="000000"/>
                <w:sz w:val="20"/>
                <w:szCs w:val="20"/>
                <w:lang w:val="hr-HR"/>
              </w:rPr>
              <w:t>4</w:t>
            </w:r>
          </w:p>
        </w:tc>
        <w:tc>
          <w:tcPr>
            <w:tcW w:w="1100" w:type="dxa"/>
            <w:tcBorders>
              <w:top w:val="single" w:sz="4" w:space="0" w:color="auto"/>
              <w:bottom w:val="single" w:sz="4" w:space="0" w:color="auto"/>
            </w:tcBorders>
            <w:shd w:val="pct10" w:color="auto" w:fill="auto"/>
            <w:noWrap/>
            <w:vAlign w:val="center"/>
          </w:tcPr>
          <w:p w14:paraId="5909C79F"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5=4/3*100</w:t>
            </w:r>
          </w:p>
        </w:tc>
      </w:tr>
      <w:tr w:rsidR="00EE13D8" w:rsidRPr="00FA1939" w14:paraId="7012AEEB" w14:textId="77777777" w:rsidTr="008061B5">
        <w:trPr>
          <w:trHeight w:val="600"/>
        </w:trPr>
        <w:tc>
          <w:tcPr>
            <w:tcW w:w="879" w:type="dxa"/>
            <w:tcBorders>
              <w:top w:val="single" w:sz="4" w:space="0" w:color="auto"/>
            </w:tcBorders>
            <w:shd w:val="clear" w:color="auto" w:fill="auto"/>
            <w:noWrap/>
            <w:vAlign w:val="center"/>
            <w:hideMark/>
          </w:tcPr>
          <w:p w14:paraId="075D4857"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636</w:t>
            </w:r>
          </w:p>
        </w:tc>
        <w:tc>
          <w:tcPr>
            <w:tcW w:w="4158" w:type="dxa"/>
            <w:tcBorders>
              <w:top w:val="single" w:sz="4" w:space="0" w:color="auto"/>
            </w:tcBorders>
            <w:shd w:val="clear" w:color="auto" w:fill="auto"/>
            <w:vAlign w:val="center"/>
            <w:hideMark/>
          </w:tcPr>
          <w:p w14:paraId="20ACDABE"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Pomoći proračunskim korisnicima iz proračuna koji im nije nadležan</w:t>
            </w:r>
          </w:p>
        </w:tc>
        <w:tc>
          <w:tcPr>
            <w:tcW w:w="1647" w:type="dxa"/>
            <w:tcBorders>
              <w:top w:val="single" w:sz="4" w:space="0" w:color="auto"/>
            </w:tcBorders>
            <w:shd w:val="clear" w:color="auto" w:fill="auto"/>
            <w:noWrap/>
            <w:vAlign w:val="center"/>
            <w:hideMark/>
          </w:tcPr>
          <w:p w14:paraId="22507A26" w14:textId="467ADCFA" w:rsidR="00EE13D8" w:rsidRPr="00FA1939" w:rsidRDefault="00450885" w:rsidP="004C15F2">
            <w:pPr>
              <w:jc w:val="right"/>
              <w:rPr>
                <w:b/>
                <w:bCs/>
                <w:i/>
                <w:iCs/>
                <w:color w:val="000000"/>
                <w:sz w:val="20"/>
                <w:szCs w:val="20"/>
                <w:lang w:val="hr-HR"/>
              </w:rPr>
            </w:pPr>
            <w:r>
              <w:rPr>
                <w:b/>
                <w:bCs/>
                <w:i/>
                <w:iCs/>
                <w:color w:val="000000"/>
                <w:sz w:val="20"/>
                <w:szCs w:val="20"/>
                <w:lang w:val="hr-HR"/>
              </w:rPr>
              <w:t>960.154,55</w:t>
            </w:r>
            <w:r w:rsidR="00EE13D8" w:rsidRPr="00FA1939">
              <w:rPr>
                <w:b/>
                <w:bCs/>
                <w:i/>
                <w:iCs/>
                <w:color w:val="000000"/>
                <w:sz w:val="20"/>
                <w:szCs w:val="20"/>
                <w:lang w:val="hr-HR"/>
              </w:rPr>
              <w:t xml:space="preserve"> €</w:t>
            </w:r>
          </w:p>
        </w:tc>
        <w:tc>
          <w:tcPr>
            <w:tcW w:w="1540" w:type="dxa"/>
            <w:tcBorders>
              <w:top w:val="single" w:sz="4" w:space="0" w:color="auto"/>
            </w:tcBorders>
            <w:shd w:val="clear" w:color="auto" w:fill="auto"/>
            <w:noWrap/>
            <w:vAlign w:val="center"/>
            <w:hideMark/>
          </w:tcPr>
          <w:p w14:paraId="046AD674" w14:textId="7A6AED13" w:rsidR="00EE13D8" w:rsidRPr="00FA1939" w:rsidRDefault="00450885" w:rsidP="004C15F2">
            <w:pPr>
              <w:jc w:val="right"/>
              <w:rPr>
                <w:b/>
                <w:bCs/>
                <w:i/>
                <w:iCs/>
                <w:color w:val="000000"/>
                <w:sz w:val="20"/>
                <w:szCs w:val="20"/>
                <w:lang w:val="hr-HR"/>
              </w:rPr>
            </w:pPr>
            <w:r>
              <w:rPr>
                <w:b/>
                <w:bCs/>
                <w:i/>
                <w:iCs/>
                <w:color w:val="000000"/>
                <w:sz w:val="20"/>
                <w:szCs w:val="20"/>
                <w:lang w:val="hr-HR"/>
              </w:rPr>
              <w:t>1.270.253,28</w:t>
            </w:r>
            <w:r w:rsidR="00EE13D8" w:rsidRPr="00FA1939">
              <w:rPr>
                <w:b/>
                <w:bCs/>
                <w:i/>
                <w:iCs/>
                <w:color w:val="000000"/>
                <w:sz w:val="20"/>
                <w:szCs w:val="20"/>
                <w:lang w:val="hr-HR"/>
              </w:rPr>
              <w:t xml:space="preserve"> €</w:t>
            </w:r>
          </w:p>
        </w:tc>
        <w:tc>
          <w:tcPr>
            <w:tcW w:w="1100" w:type="dxa"/>
            <w:tcBorders>
              <w:top w:val="single" w:sz="4" w:space="0" w:color="auto"/>
            </w:tcBorders>
            <w:shd w:val="clear" w:color="000000" w:fill="FFFFFF"/>
            <w:noWrap/>
            <w:vAlign w:val="center"/>
            <w:hideMark/>
          </w:tcPr>
          <w:p w14:paraId="11B1E108" w14:textId="03FF23CB"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1</w:t>
            </w:r>
            <w:r w:rsidR="00450885">
              <w:rPr>
                <w:rFonts w:ascii="Calibri" w:hAnsi="Calibri" w:cs="Calibri"/>
                <w:color w:val="000000"/>
                <w:sz w:val="20"/>
                <w:szCs w:val="20"/>
                <w:lang w:val="hr-HR"/>
              </w:rPr>
              <w:t>32</w:t>
            </w:r>
          </w:p>
        </w:tc>
      </w:tr>
      <w:tr w:rsidR="00EE13D8" w:rsidRPr="00FA1939" w14:paraId="46CA349A" w14:textId="77777777" w:rsidTr="008061B5">
        <w:trPr>
          <w:trHeight w:val="540"/>
        </w:trPr>
        <w:tc>
          <w:tcPr>
            <w:tcW w:w="879" w:type="dxa"/>
            <w:shd w:val="clear" w:color="auto" w:fill="auto"/>
            <w:noWrap/>
            <w:vAlign w:val="center"/>
            <w:hideMark/>
          </w:tcPr>
          <w:p w14:paraId="17CD645C" w14:textId="77777777" w:rsidR="00EE13D8" w:rsidRPr="00FA1939" w:rsidRDefault="00EE13D8" w:rsidP="004C15F2">
            <w:pPr>
              <w:jc w:val="center"/>
              <w:rPr>
                <w:color w:val="000000"/>
                <w:sz w:val="20"/>
                <w:szCs w:val="20"/>
                <w:lang w:val="hr-HR"/>
              </w:rPr>
            </w:pPr>
            <w:r w:rsidRPr="00FA1939">
              <w:rPr>
                <w:color w:val="000000"/>
                <w:sz w:val="20"/>
                <w:szCs w:val="20"/>
                <w:lang w:val="hr-HR"/>
              </w:rPr>
              <w:t>6361</w:t>
            </w:r>
          </w:p>
        </w:tc>
        <w:tc>
          <w:tcPr>
            <w:tcW w:w="4158" w:type="dxa"/>
            <w:shd w:val="clear" w:color="auto" w:fill="auto"/>
            <w:vAlign w:val="center"/>
            <w:hideMark/>
          </w:tcPr>
          <w:p w14:paraId="3D8FE1FB" w14:textId="77777777" w:rsidR="00EE13D8" w:rsidRPr="00FA1939" w:rsidRDefault="00EE13D8" w:rsidP="004C15F2">
            <w:pPr>
              <w:rPr>
                <w:color w:val="000000"/>
                <w:sz w:val="20"/>
                <w:szCs w:val="20"/>
                <w:lang w:val="hr-HR"/>
              </w:rPr>
            </w:pPr>
            <w:r w:rsidRPr="00FA1939">
              <w:rPr>
                <w:color w:val="000000"/>
                <w:sz w:val="20"/>
                <w:szCs w:val="20"/>
                <w:lang w:val="hr-HR"/>
              </w:rPr>
              <w:t>Tekuće pomoći proračunskim korisnicima iz proračuna koji im nije nadležan</w:t>
            </w:r>
          </w:p>
        </w:tc>
        <w:tc>
          <w:tcPr>
            <w:tcW w:w="1647" w:type="dxa"/>
            <w:shd w:val="clear" w:color="auto" w:fill="auto"/>
            <w:noWrap/>
            <w:vAlign w:val="center"/>
            <w:hideMark/>
          </w:tcPr>
          <w:p w14:paraId="53DD3BBD" w14:textId="778E6766" w:rsidR="00EE13D8" w:rsidRPr="00FA1939" w:rsidRDefault="00450885" w:rsidP="004C15F2">
            <w:pPr>
              <w:jc w:val="right"/>
              <w:rPr>
                <w:color w:val="000000"/>
                <w:sz w:val="20"/>
                <w:szCs w:val="20"/>
                <w:lang w:val="hr-HR"/>
              </w:rPr>
            </w:pPr>
            <w:r>
              <w:rPr>
                <w:color w:val="000000"/>
                <w:sz w:val="20"/>
                <w:szCs w:val="20"/>
                <w:lang w:val="hr-HR"/>
              </w:rPr>
              <w:t>951.829,60</w:t>
            </w:r>
            <w:r w:rsidR="00EE13D8" w:rsidRPr="00FA1939">
              <w:rPr>
                <w:color w:val="000000"/>
                <w:sz w:val="20"/>
                <w:szCs w:val="20"/>
                <w:lang w:val="hr-HR"/>
              </w:rPr>
              <w:t xml:space="preserve"> €</w:t>
            </w:r>
          </w:p>
        </w:tc>
        <w:tc>
          <w:tcPr>
            <w:tcW w:w="1540" w:type="dxa"/>
            <w:shd w:val="clear" w:color="auto" w:fill="auto"/>
            <w:noWrap/>
            <w:vAlign w:val="center"/>
            <w:hideMark/>
          </w:tcPr>
          <w:p w14:paraId="6949AE87" w14:textId="533A2176" w:rsidR="00EE13D8" w:rsidRPr="00FA1939" w:rsidRDefault="00450885" w:rsidP="004C15F2">
            <w:pPr>
              <w:jc w:val="right"/>
              <w:rPr>
                <w:color w:val="000000"/>
                <w:sz w:val="20"/>
                <w:szCs w:val="20"/>
                <w:lang w:val="hr-HR"/>
              </w:rPr>
            </w:pPr>
            <w:r>
              <w:rPr>
                <w:color w:val="000000"/>
                <w:sz w:val="20"/>
                <w:szCs w:val="20"/>
                <w:lang w:val="hr-HR"/>
              </w:rPr>
              <w:t>1.270.253,28</w:t>
            </w:r>
            <w:r w:rsidR="00EE13D8" w:rsidRPr="00FA1939">
              <w:rPr>
                <w:color w:val="000000"/>
                <w:sz w:val="20"/>
                <w:szCs w:val="20"/>
                <w:lang w:val="hr-HR"/>
              </w:rPr>
              <w:t xml:space="preserve"> €</w:t>
            </w:r>
          </w:p>
        </w:tc>
        <w:tc>
          <w:tcPr>
            <w:tcW w:w="1100" w:type="dxa"/>
            <w:shd w:val="clear" w:color="000000" w:fill="FFFFFF"/>
            <w:noWrap/>
            <w:vAlign w:val="center"/>
            <w:hideMark/>
          </w:tcPr>
          <w:p w14:paraId="4AB96E53" w14:textId="3891DE5E"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1</w:t>
            </w:r>
            <w:r w:rsidR="00450885">
              <w:rPr>
                <w:rFonts w:ascii="Calibri" w:hAnsi="Calibri" w:cs="Calibri"/>
                <w:color w:val="000000"/>
                <w:sz w:val="20"/>
                <w:szCs w:val="20"/>
                <w:lang w:val="hr-HR"/>
              </w:rPr>
              <w:t>33</w:t>
            </w:r>
          </w:p>
        </w:tc>
      </w:tr>
      <w:tr w:rsidR="00EE13D8" w:rsidRPr="00FA1939" w14:paraId="7C387071" w14:textId="77777777" w:rsidTr="008061B5">
        <w:trPr>
          <w:trHeight w:val="540"/>
        </w:trPr>
        <w:tc>
          <w:tcPr>
            <w:tcW w:w="879" w:type="dxa"/>
            <w:shd w:val="clear" w:color="auto" w:fill="auto"/>
            <w:noWrap/>
            <w:vAlign w:val="center"/>
            <w:hideMark/>
          </w:tcPr>
          <w:p w14:paraId="5650D89A" w14:textId="77777777" w:rsidR="00EE13D8" w:rsidRPr="00FA1939" w:rsidRDefault="00EE13D8" w:rsidP="004C15F2">
            <w:pPr>
              <w:jc w:val="center"/>
              <w:rPr>
                <w:color w:val="000000"/>
                <w:sz w:val="20"/>
                <w:szCs w:val="20"/>
                <w:lang w:val="hr-HR"/>
              </w:rPr>
            </w:pPr>
            <w:r w:rsidRPr="00FA1939">
              <w:rPr>
                <w:color w:val="000000"/>
                <w:sz w:val="20"/>
                <w:szCs w:val="20"/>
                <w:lang w:val="hr-HR"/>
              </w:rPr>
              <w:t>6362</w:t>
            </w:r>
          </w:p>
        </w:tc>
        <w:tc>
          <w:tcPr>
            <w:tcW w:w="4158" w:type="dxa"/>
            <w:shd w:val="clear" w:color="auto" w:fill="auto"/>
            <w:vAlign w:val="center"/>
            <w:hideMark/>
          </w:tcPr>
          <w:p w14:paraId="769271EB" w14:textId="77777777" w:rsidR="00EE13D8" w:rsidRPr="00FA1939" w:rsidRDefault="00EE13D8" w:rsidP="004C15F2">
            <w:pPr>
              <w:rPr>
                <w:color w:val="000000"/>
                <w:sz w:val="20"/>
                <w:szCs w:val="20"/>
                <w:lang w:val="hr-HR"/>
              </w:rPr>
            </w:pPr>
            <w:r w:rsidRPr="00FA1939">
              <w:rPr>
                <w:color w:val="000000"/>
                <w:sz w:val="20"/>
                <w:szCs w:val="20"/>
                <w:lang w:val="hr-HR"/>
              </w:rPr>
              <w:t>Kapitalne pomoći proračunskim korisnicima iz proračuna koji im nije nadležan</w:t>
            </w:r>
          </w:p>
        </w:tc>
        <w:tc>
          <w:tcPr>
            <w:tcW w:w="1647" w:type="dxa"/>
            <w:shd w:val="clear" w:color="auto" w:fill="auto"/>
            <w:noWrap/>
            <w:vAlign w:val="center"/>
            <w:hideMark/>
          </w:tcPr>
          <w:p w14:paraId="6B294CBD" w14:textId="677F5124" w:rsidR="00EE13D8" w:rsidRPr="00FA1939" w:rsidRDefault="00450885" w:rsidP="004C15F2">
            <w:pPr>
              <w:jc w:val="right"/>
              <w:rPr>
                <w:color w:val="000000"/>
                <w:sz w:val="20"/>
                <w:szCs w:val="20"/>
                <w:lang w:val="hr-HR"/>
              </w:rPr>
            </w:pPr>
            <w:r>
              <w:rPr>
                <w:color w:val="000000"/>
                <w:sz w:val="20"/>
                <w:szCs w:val="20"/>
                <w:lang w:val="hr-HR"/>
              </w:rPr>
              <w:t>8</w:t>
            </w:r>
            <w:r w:rsidR="00EE13D8" w:rsidRPr="00FA1939">
              <w:rPr>
                <w:color w:val="000000"/>
                <w:sz w:val="20"/>
                <w:szCs w:val="20"/>
                <w:lang w:val="hr-HR"/>
              </w:rPr>
              <w:t>.</w:t>
            </w:r>
            <w:r>
              <w:rPr>
                <w:color w:val="000000"/>
                <w:sz w:val="20"/>
                <w:szCs w:val="20"/>
                <w:lang w:val="hr-HR"/>
              </w:rPr>
              <w:t>324</w:t>
            </w:r>
            <w:r w:rsidR="00EE13D8" w:rsidRPr="00FA1939">
              <w:rPr>
                <w:color w:val="000000"/>
                <w:sz w:val="20"/>
                <w:szCs w:val="20"/>
                <w:lang w:val="hr-HR"/>
              </w:rPr>
              <w:t>,</w:t>
            </w:r>
            <w:r>
              <w:rPr>
                <w:color w:val="000000"/>
                <w:sz w:val="20"/>
                <w:szCs w:val="20"/>
                <w:lang w:val="hr-HR"/>
              </w:rPr>
              <w:t>9</w:t>
            </w:r>
            <w:r w:rsidR="00EE13D8" w:rsidRPr="00FA1939">
              <w:rPr>
                <w:color w:val="000000"/>
                <w:sz w:val="20"/>
                <w:szCs w:val="20"/>
                <w:lang w:val="hr-HR"/>
              </w:rPr>
              <w:t>5 €</w:t>
            </w:r>
          </w:p>
        </w:tc>
        <w:tc>
          <w:tcPr>
            <w:tcW w:w="1540" w:type="dxa"/>
            <w:shd w:val="clear" w:color="auto" w:fill="auto"/>
            <w:noWrap/>
            <w:vAlign w:val="center"/>
            <w:hideMark/>
          </w:tcPr>
          <w:p w14:paraId="2A71DEFB" w14:textId="6A422608" w:rsidR="00EE13D8" w:rsidRPr="00FA1939" w:rsidRDefault="00450885" w:rsidP="004C15F2">
            <w:pPr>
              <w:jc w:val="right"/>
              <w:rPr>
                <w:color w:val="000000"/>
                <w:sz w:val="20"/>
                <w:szCs w:val="20"/>
                <w:lang w:val="hr-HR"/>
              </w:rPr>
            </w:pPr>
            <w:r>
              <w:rPr>
                <w:color w:val="000000"/>
                <w:sz w:val="20"/>
                <w:szCs w:val="20"/>
                <w:lang w:val="hr-HR"/>
              </w:rPr>
              <w:t>0,00</w:t>
            </w:r>
            <w:r w:rsidR="00EE13D8" w:rsidRPr="00FA1939">
              <w:rPr>
                <w:color w:val="000000"/>
                <w:sz w:val="20"/>
                <w:szCs w:val="20"/>
                <w:lang w:val="hr-HR"/>
              </w:rPr>
              <w:t xml:space="preserve"> €</w:t>
            </w:r>
          </w:p>
        </w:tc>
        <w:tc>
          <w:tcPr>
            <w:tcW w:w="1100" w:type="dxa"/>
            <w:shd w:val="clear" w:color="000000" w:fill="FFFFFF"/>
            <w:noWrap/>
            <w:vAlign w:val="center"/>
            <w:hideMark/>
          </w:tcPr>
          <w:p w14:paraId="6D840172" w14:textId="5C40090F"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0</w:t>
            </w:r>
          </w:p>
        </w:tc>
      </w:tr>
      <w:tr w:rsidR="00EE13D8" w:rsidRPr="00FA1939" w14:paraId="44A03261" w14:textId="77777777" w:rsidTr="008061B5">
        <w:trPr>
          <w:trHeight w:val="360"/>
        </w:trPr>
        <w:tc>
          <w:tcPr>
            <w:tcW w:w="879" w:type="dxa"/>
            <w:shd w:val="clear" w:color="auto" w:fill="auto"/>
            <w:noWrap/>
            <w:vAlign w:val="center"/>
            <w:hideMark/>
          </w:tcPr>
          <w:p w14:paraId="1C3E8CF9"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641</w:t>
            </w:r>
          </w:p>
        </w:tc>
        <w:tc>
          <w:tcPr>
            <w:tcW w:w="4158" w:type="dxa"/>
            <w:shd w:val="clear" w:color="auto" w:fill="auto"/>
            <w:noWrap/>
            <w:vAlign w:val="center"/>
            <w:hideMark/>
          </w:tcPr>
          <w:p w14:paraId="26B2F1EB"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Prihodi od financijske imovine</w:t>
            </w:r>
          </w:p>
        </w:tc>
        <w:tc>
          <w:tcPr>
            <w:tcW w:w="1647" w:type="dxa"/>
            <w:shd w:val="clear" w:color="auto" w:fill="auto"/>
            <w:noWrap/>
            <w:vAlign w:val="center"/>
            <w:hideMark/>
          </w:tcPr>
          <w:p w14:paraId="39F78675" w14:textId="634952C2" w:rsidR="00EE13D8" w:rsidRPr="00FA1939" w:rsidRDefault="00450885" w:rsidP="004C15F2">
            <w:pPr>
              <w:jc w:val="right"/>
              <w:rPr>
                <w:b/>
                <w:bCs/>
                <w:i/>
                <w:iCs/>
                <w:color w:val="000000"/>
                <w:sz w:val="20"/>
                <w:szCs w:val="20"/>
                <w:lang w:val="hr-HR"/>
              </w:rPr>
            </w:pPr>
            <w:r>
              <w:rPr>
                <w:b/>
                <w:bCs/>
                <w:i/>
                <w:iCs/>
                <w:color w:val="000000"/>
                <w:sz w:val="20"/>
                <w:szCs w:val="20"/>
                <w:lang w:val="hr-HR"/>
              </w:rPr>
              <w:t>36</w:t>
            </w:r>
            <w:r w:rsidR="00EE13D8" w:rsidRPr="00FA1939">
              <w:rPr>
                <w:b/>
                <w:bCs/>
                <w:i/>
                <w:iCs/>
                <w:color w:val="000000"/>
                <w:sz w:val="20"/>
                <w:szCs w:val="20"/>
                <w:lang w:val="hr-HR"/>
              </w:rPr>
              <w:t>,</w:t>
            </w:r>
            <w:r>
              <w:rPr>
                <w:b/>
                <w:bCs/>
                <w:i/>
                <w:iCs/>
                <w:color w:val="000000"/>
                <w:sz w:val="20"/>
                <w:szCs w:val="20"/>
                <w:lang w:val="hr-HR"/>
              </w:rPr>
              <w:t>52</w:t>
            </w:r>
            <w:r w:rsidR="00EE13D8" w:rsidRPr="00FA1939">
              <w:rPr>
                <w:b/>
                <w:bCs/>
                <w:i/>
                <w:iCs/>
                <w:color w:val="000000"/>
                <w:sz w:val="20"/>
                <w:szCs w:val="20"/>
                <w:lang w:val="hr-HR"/>
              </w:rPr>
              <w:t xml:space="preserve"> €</w:t>
            </w:r>
          </w:p>
        </w:tc>
        <w:tc>
          <w:tcPr>
            <w:tcW w:w="1540" w:type="dxa"/>
            <w:shd w:val="clear" w:color="auto" w:fill="auto"/>
            <w:noWrap/>
            <w:vAlign w:val="center"/>
            <w:hideMark/>
          </w:tcPr>
          <w:p w14:paraId="67EE1849" w14:textId="74DC9ED3" w:rsidR="00EE13D8" w:rsidRPr="00FA1939" w:rsidRDefault="000E68F7" w:rsidP="000E68F7">
            <w:pPr>
              <w:jc w:val="center"/>
              <w:rPr>
                <w:b/>
                <w:bCs/>
                <w:i/>
                <w:iCs/>
                <w:color w:val="000000"/>
                <w:sz w:val="20"/>
                <w:szCs w:val="20"/>
                <w:lang w:val="hr-HR"/>
              </w:rPr>
            </w:pPr>
            <w:r>
              <w:rPr>
                <w:b/>
                <w:bCs/>
                <w:i/>
                <w:iCs/>
                <w:color w:val="000000"/>
                <w:sz w:val="20"/>
                <w:szCs w:val="20"/>
                <w:lang w:val="hr-HR"/>
              </w:rPr>
              <w:t xml:space="preserve">             </w:t>
            </w:r>
            <w:r w:rsidR="00450885">
              <w:rPr>
                <w:b/>
                <w:bCs/>
                <w:i/>
                <w:iCs/>
                <w:color w:val="000000"/>
                <w:sz w:val="20"/>
                <w:szCs w:val="20"/>
                <w:lang w:val="hr-HR"/>
              </w:rPr>
              <w:t>0</w:t>
            </w:r>
            <w:r w:rsidR="00EE13D8" w:rsidRPr="00FA1939">
              <w:rPr>
                <w:b/>
                <w:bCs/>
                <w:i/>
                <w:iCs/>
                <w:color w:val="000000"/>
                <w:sz w:val="20"/>
                <w:szCs w:val="20"/>
                <w:lang w:val="hr-HR"/>
              </w:rPr>
              <w:t>,</w:t>
            </w:r>
            <w:r w:rsidR="00450885">
              <w:rPr>
                <w:b/>
                <w:bCs/>
                <w:i/>
                <w:iCs/>
                <w:color w:val="000000"/>
                <w:sz w:val="20"/>
                <w:szCs w:val="20"/>
                <w:lang w:val="hr-HR"/>
              </w:rPr>
              <w:t>00</w:t>
            </w:r>
            <w:r w:rsidR="00EE13D8" w:rsidRPr="00FA1939">
              <w:rPr>
                <w:b/>
                <w:bCs/>
                <w:i/>
                <w:iCs/>
                <w:color w:val="000000"/>
                <w:sz w:val="20"/>
                <w:szCs w:val="20"/>
                <w:lang w:val="hr-HR"/>
              </w:rPr>
              <w:t xml:space="preserve"> €</w:t>
            </w:r>
          </w:p>
        </w:tc>
        <w:tc>
          <w:tcPr>
            <w:tcW w:w="1100" w:type="dxa"/>
            <w:shd w:val="clear" w:color="000000" w:fill="FFFFFF"/>
            <w:noWrap/>
            <w:vAlign w:val="center"/>
            <w:hideMark/>
          </w:tcPr>
          <w:p w14:paraId="342683EF" w14:textId="77777777" w:rsidR="00EE13D8" w:rsidRPr="00FA1939" w:rsidRDefault="00EE13D8" w:rsidP="004C15F2">
            <w:pPr>
              <w:jc w:val="center"/>
              <w:rPr>
                <w:rFonts w:ascii="Calibri" w:hAnsi="Calibri" w:cs="Calibri"/>
                <w:color w:val="000000"/>
                <w:sz w:val="20"/>
                <w:szCs w:val="20"/>
                <w:lang w:val="hr-HR"/>
              </w:rPr>
            </w:pPr>
          </w:p>
        </w:tc>
      </w:tr>
      <w:tr w:rsidR="00EE13D8" w:rsidRPr="00FA1939" w14:paraId="159C7257" w14:textId="77777777" w:rsidTr="008061B5">
        <w:trPr>
          <w:trHeight w:val="499"/>
        </w:trPr>
        <w:tc>
          <w:tcPr>
            <w:tcW w:w="879" w:type="dxa"/>
            <w:shd w:val="clear" w:color="auto" w:fill="auto"/>
            <w:noWrap/>
            <w:vAlign w:val="center"/>
            <w:hideMark/>
          </w:tcPr>
          <w:p w14:paraId="50B982D0" w14:textId="77777777" w:rsidR="00EE13D8" w:rsidRPr="00FA1939" w:rsidRDefault="00EE13D8" w:rsidP="004C15F2">
            <w:pPr>
              <w:jc w:val="center"/>
              <w:rPr>
                <w:color w:val="000000"/>
                <w:sz w:val="20"/>
                <w:szCs w:val="20"/>
                <w:lang w:val="hr-HR"/>
              </w:rPr>
            </w:pPr>
            <w:r w:rsidRPr="00FA1939">
              <w:rPr>
                <w:color w:val="000000"/>
                <w:sz w:val="20"/>
                <w:szCs w:val="20"/>
                <w:lang w:val="hr-HR"/>
              </w:rPr>
              <w:t>6413</w:t>
            </w:r>
          </w:p>
        </w:tc>
        <w:tc>
          <w:tcPr>
            <w:tcW w:w="4158" w:type="dxa"/>
            <w:shd w:val="clear" w:color="auto" w:fill="auto"/>
            <w:noWrap/>
            <w:vAlign w:val="center"/>
            <w:hideMark/>
          </w:tcPr>
          <w:p w14:paraId="77DC3BA7" w14:textId="77777777" w:rsidR="00EE13D8" w:rsidRPr="00FA1939" w:rsidRDefault="00EE13D8" w:rsidP="004C15F2">
            <w:pPr>
              <w:rPr>
                <w:color w:val="000000"/>
                <w:sz w:val="20"/>
                <w:szCs w:val="20"/>
                <w:lang w:val="hr-HR"/>
              </w:rPr>
            </w:pPr>
            <w:r w:rsidRPr="00FA1939">
              <w:rPr>
                <w:color w:val="000000"/>
                <w:sz w:val="20"/>
                <w:szCs w:val="20"/>
                <w:lang w:val="hr-HR"/>
              </w:rPr>
              <w:t>Prihodi od kamata na depozite po viđenju</w:t>
            </w:r>
          </w:p>
        </w:tc>
        <w:tc>
          <w:tcPr>
            <w:tcW w:w="1647" w:type="dxa"/>
            <w:shd w:val="clear" w:color="auto" w:fill="auto"/>
            <w:noWrap/>
            <w:vAlign w:val="center"/>
            <w:hideMark/>
          </w:tcPr>
          <w:p w14:paraId="56E96A8E" w14:textId="77777777" w:rsidR="00EE13D8" w:rsidRPr="00FA1939" w:rsidRDefault="00EE13D8" w:rsidP="004C15F2">
            <w:pPr>
              <w:jc w:val="right"/>
              <w:rPr>
                <w:color w:val="000000"/>
                <w:sz w:val="20"/>
                <w:szCs w:val="20"/>
                <w:lang w:val="hr-HR"/>
              </w:rPr>
            </w:pPr>
            <w:r w:rsidRPr="00FA1939">
              <w:rPr>
                <w:color w:val="000000"/>
                <w:sz w:val="20"/>
                <w:szCs w:val="20"/>
                <w:lang w:val="hr-HR"/>
              </w:rPr>
              <w:t>0,00€</w:t>
            </w:r>
          </w:p>
        </w:tc>
        <w:tc>
          <w:tcPr>
            <w:tcW w:w="1540" w:type="dxa"/>
            <w:shd w:val="clear" w:color="auto" w:fill="auto"/>
            <w:noWrap/>
            <w:vAlign w:val="center"/>
            <w:hideMark/>
          </w:tcPr>
          <w:p w14:paraId="53A9B136" w14:textId="77777777" w:rsidR="00EE13D8" w:rsidRPr="00FA1939" w:rsidRDefault="00EE13D8" w:rsidP="004C15F2">
            <w:pPr>
              <w:jc w:val="right"/>
              <w:rPr>
                <w:color w:val="000000"/>
                <w:sz w:val="20"/>
                <w:szCs w:val="20"/>
                <w:lang w:val="hr-HR"/>
              </w:rPr>
            </w:pPr>
            <w:r w:rsidRPr="00FA1939">
              <w:rPr>
                <w:color w:val="000000"/>
                <w:sz w:val="20"/>
                <w:szCs w:val="20"/>
                <w:lang w:val="hr-HR"/>
              </w:rPr>
              <w:t>0,00 €</w:t>
            </w:r>
          </w:p>
        </w:tc>
        <w:tc>
          <w:tcPr>
            <w:tcW w:w="1100" w:type="dxa"/>
            <w:shd w:val="clear" w:color="000000" w:fill="FFFFFF"/>
            <w:noWrap/>
            <w:vAlign w:val="center"/>
            <w:hideMark/>
          </w:tcPr>
          <w:p w14:paraId="3000467A" w14:textId="4EC5F246" w:rsidR="00EE13D8" w:rsidRPr="00FA1939" w:rsidRDefault="00450885" w:rsidP="004C15F2">
            <w:pPr>
              <w:jc w:val="center"/>
              <w:rPr>
                <w:rFonts w:ascii="Calibri" w:hAnsi="Calibri" w:cs="Calibri"/>
                <w:color w:val="000000"/>
                <w:sz w:val="20"/>
                <w:szCs w:val="20"/>
                <w:lang w:val="hr-HR"/>
              </w:rPr>
            </w:pPr>
            <w:r>
              <w:rPr>
                <w:rFonts w:ascii="Calibri" w:hAnsi="Calibri" w:cs="Calibri"/>
                <w:color w:val="000000"/>
                <w:sz w:val="20"/>
                <w:szCs w:val="20"/>
                <w:lang w:val="hr-HR"/>
              </w:rPr>
              <w:t>0</w:t>
            </w:r>
            <w:r w:rsidR="00EE13D8" w:rsidRPr="00FA1939">
              <w:rPr>
                <w:rFonts w:ascii="Calibri" w:hAnsi="Calibri" w:cs="Calibri"/>
                <w:color w:val="000000"/>
                <w:sz w:val="20"/>
                <w:szCs w:val="20"/>
                <w:lang w:val="hr-HR"/>
              </w:rPr>
              <w:t> </w:t>
            </w:r>
          </w:p>
        </w:tc>
      </w:tr>
      <w:tr w:rsidR="00EE13D8" w:rsidRPr="00FA1939" w14:paraId="3448AEC7" w14:textId="77777777" w:rsidTr="008061B5">
        <w:trPr>
          <w:trHeight w:val="499"/>
        </w:trPr>
        <w:tc>
          <w:tcPr>
            <w:tcW w:w="879" w:type="dxa"/>
            <w:shd w:val="clear" w:color="auto" w:fill="auto"/>
            <w:noWrap/>
            <w:vAlign w:val="center"/>
            <w:hideMark/>
          </w:tcPr>
          <w:p w14:paraId="2DDB3A0A" w14:textId="77777777" w:rsidR="00EE13D8" w:rsidRPr="00FA1939" w:rsidRDefault="00EE13D8" w:rsidP="004C15F2">
            <w:pPr>
              <w:jc w:val="center"/>
              <w:rPr>
                <w:color w:val="000000"/>
                <w:sz w:val="20"/>
                <w:szCs w:val="20"/>
                <w:lang w:val="hr-HR"/>
              </w:rPr>
            </w:pPr>
            <w:r w:rsidRPr="00FA1939">
              <w:rPr>
                <w:color w:val="000000"/>
                <w:sz w:val="20"/>
                <w:szCs w:val="20"/>
                <w:lang w:val="hr-HR"/>
              </w:rPr>
              <w:t>6414</w:t>
            </w:r>
          </w:p>
        </w:tc>
        <w:tc>
          <w:tcPr>
            <w:tcW w:w="4158" w:type="dxa"/>
            <w:shd w:val="clear" w:color="auto" w:fill="auto"/>
            <w:noWrap/>
            <w:vAlign w:val="center"/>
            <w:hideMark/>
          </w:tcPr>
          <w:p w14:paraId="4E4E6195" w14:textId="77777777" w:rsidR="00EE13D8" w:rsidRPr="00FA1939" w:rsidRDefault="00EE13D8" w:rsidP="004C15F2">
            <w:pPr>
              <w:rPr>
                <w:color w:val="000000"/>
                <w:sz w:val="20"/>
                <w:szCs w:val="20"/>
                <w:lang w:val="hr-HR"/>
              </w:rPr>
            </w:pPr>
            <w:r w:rsidRPr="00FA1939">
              <w:rPr>
                <w:color w:val="000000"/>
                <w:sz w:val="20"/>
                <w:szCs w:val="20"/>
                <w:lang w:val="hr-HR"/>
              </w:rPr>
              <w:t>Prihodi od zateznih kamata</w:t>
            </w:r>
          </w:p>
        </w:tc>
        <w:tc>
          <w:tcPr>
            <w:tcW w:w="1647" w:type="dxa"/>
            <w:shd w:val="clear" w:color="auto" w:fill="auto"/>
            <w:noWrap/>
            <w:vAlign w:val="center"/>
            <w:hideMark/>
          </w:tcPr>
          <w:p w14:paraId="300263B4" w14:textId="335FB3CD" w:rsidR="00EE13D8" w:rsidRPr="00FA1939" w:rsidRDefault="00450885" w:rsidP="004C15F2">
            <w:pPr>
              <w:jc w:val="right"/>
              <w:rPr>
                <w:color w:val="000000"/>
                <w:sz w:val="20"/>
                <w:szCs w:val="20"/>
                <w:lang w:val="hr-HR"/>
              </w:rPr>
            </w:pPr>
            <w:r>
              <w:rPr>
                <w:color w:val="000000"/>
                <w:sz w:val="20"/>
                <w:szCs w:val="20"/>
                <w:lang w:val="hr-HR"/>
              </w:rPr>
              <w:t>36</w:t>
            </w:r>
            <w:r w:rsidR="00EE13D8" w:rsidRPr="00FA1939">
              <w:rPr>
                <w:color w:val="000000"/>
                <w:sz w:val="20"/>
                <w:szCs w:val="20"/>
                <w:lang w:val="hr-HR"/>
              </w:rPr>
              <w:t>,</w:t>
            </w:r>
            <w:r>
              <w:rPr>
                <w:color w:val="000000"/>
                <w:sz w:val="20"/>
                <w:szCs w:val="20"/>
                <w:lang w:val="hr-HR"/>
              </w:rPr>
              <w:t>52</w:t>
            </w:r>
            <w:r w:rsidR="00EE13D8" w:rsidRPr="00FA1939">
              <w:rPr>
                <w:color w:val="000000"/>
                <w:sz w:val="20"/>
                <w:szCs w:val="20"/>
                <w:lang w:val="hr-HR"/>
              </w:rPr>
              <w:t xml:space="preserve"> €</w:t>
            </w:r>
          </w:p>
        </w:tc>
        <w:tc>
          <w:tcPr>
            <w:tcW w:w="1540" w:type="dxa"/>
            <w:shd w:val="clear" w:color="auto" w:fill="auto"/>
            <w:noWrap/>
            <w:vAlign w:val="center"/>
            <w:hideMark/>
          </w:tcPr>
          <w:p w14:paraId="66B7AA4F" w14:textId="25F24EF8" w:rsidR="00EE13D8" w:rsidRPr="00FA1939" w:rsidRDefault="00450885" w:rsidP="004C15F2">
            <w:pPr>
              <w:jc w:val="right"/>
              <w:rPr>
                <w:color w:val="000000"/>
                <w:sz w:val="20"/>
                <w:szCs w:val="20"/>
                <w:lang w:val="hr-HR"/>
              </w:rPr>
            </w:pPr>
            <w:r>
              <w:rPr>
                <w:color w:val="000000"/>
                <w:sz w:val="20"/>
                <w:szCs w:val="20"/>
                <w:lang w:val="hr-HR"/>
              </w:rPr>
              <w:t>0</w:t>
            </w:r>
            <w:r w:rsidR="00EE13D8" w:rsidRPr="00FA1939">
              <w:rPr>
                <w:color w:val="000000"/>
                <w:sz w:val="20"/>
                <w:szCs w:val="20"/>
                <w:lang w:val="hr-HR"/>
              </w:rPr>
              <w:t>,</w:t>
            </w:r>
            <w:r>
              <w:rPr>
                <w:color w:val="000000"/>
                <w:sz w:val="20"/>
                <w:szCs w:val="20"/>
                <w:lang w:val="hr-HR"/>
              </w:rPr>
              <w:t>00</w:t>
            </w:r>
            <w:r w:rsidR="00EE13D8" w:rsidRPr="00FA1939">
              <w:rPr>
                <w:color w:val="000000"/>
                <w:sz w:val="20"/>
                <w:szCs w:val="20"/>
                <w:lang w:val="hr-HR"/>
              </w:rPr>
              <w:t xml:space="preserve"> €</w:t>
            </w:r>
          </w:p>
        </w:tc>
        <w:tc>
          <w:tcPr>
            <w:tcW w:w="1100" w:type="dxa"/>
            <w:shd w:val="clear" w:color="000000" w:fill="FFFFFF"/>
            <w:noWrap/>
            <w:vAlign w:val="center"/>
            <w:hideMark/>
          </w:tcPr>
          <w:p w14:paraId="2F0D8233" w14:textId="5BCC524A"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 </w:t>
            </w:r>
            <w:r w:rsidR="00450885">
              <w:rPr>
                <w:rFonts w:ascii="Calibri" w:hAnsi="Calibri" w:cs="Calibri"/>
                <w:color w:val="000000"/>
                <w:sz w:val="20"/>
                <w:szCs w:val="20"/>
                <w:lang w:val="hr-HR"/>
              </w:rPr>
              <w:t>0</w:t>
            </w:r>
          </w:p>
        </w:tc>
      </w:tr>
      <w:tr w:rsidR="00EE13D8" w:rsidRPr="00FA1939" w14:paraId="032F55A9" w14:textId="77777777" w:rsidTr="008061B5">
        <w:trPr>
          <w:trHeight w:val="450"/>
        </w:trPr>
        <w:tc>
          <w:tcPr>
            <w:tcW w:w="879" w:type="dxa"/>
            <w:shd w:val="clear" w:color="auto" w:fill="auto"/>
            <w:noWrap/>
            <w:vAlign w:val="center"/>
            <w:hideMark/>
          </w:tcPr>
          <w:p w14:paraId="6365D05F"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652</w:t>
            </w:r>
          </w:p>
        </w:tc>
        <w:tc>
          <w:tcPr>
            <w:tcW w:w="4158" w:type="dxa"/>
            <w:shd w:val="clear" w:color="auto" w:fill="auto"/>
            <w:noWrap/>
            <w:vAlign w:val="center"/>
            <w:hideMark/>
          </w:tcPr>
          <w:p w14:paraId="53F7C2AC"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Prihodi po posebnim propisima</w:t>
            </w:r>
          </w:p>
        </w:tc>
        <w:tc>
          <w:tcPr>
            <w:tcW w:w="1647" w:type="dxa"/>
            <w:shd w:val="clear" w:color="auto" w:fill="auto"/>
            <w:noWrap/>
            <w:vAlign w:val="center"/>
            <w:hideMark/>
          </w:tcPr>
          <w:p w14:paraId="62F42B7B" w14:textId="3C957A49"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30</w:t>
            </w:r>
            <w:r w:rsidR="00450885">
              <w:rPr>
                <w:b/>
                <w:bCs/>
                <w:i/>
                <w:iCs/>
                <w:color w:val="000000"/>
                <w:sz w:val="20"/>
                <w:szCs w:val="20"/>
                <w:lang w:val="hr-HR"/>
              </w:rPr>
              <w:t>7</w:t>
            </w:r>
            <w:r w:rsidR="00EE13D8" w:rsidRPr="00FA1939">
              <w:rPr>
                <w:b/>
                <w:bCs/>
                <w:i/>
                <w:iCs/>
                <w:color w:val="000000"/>
                <w:sz w:val="20"/>
                <w:szCs w:val="20"/>
                <w:lang w:val="hr-HR"/>
              </w:rPr>
              <w:t>.</w:t>
            </w:r>
            <w:r w:rsidR="00450885">
              <w:rPr>
                <w:b/>
                <w:bCs/>
                <w:i/>
                <w:iCs/>
                <w:color w:val="000000"/>
                <w:sz w:val="20"/>
                <w:szCs w:val="20"/>
                <w:lang w:val="hr-HR"/>
              </w:rPr>
              <w:t>228</w:t>
            </w:r>
            <w:r w:rsidR="00EE13D8" w:rsidRPr="00FA1939">
              <w:rPr>
                <w:b/>
                <w:bCs/>
                <w:i/>
                <w:iCs/>
                <w:color w:val="000000"/>
                <w:sz w:val="20"/>
                <w:szCs w:val="20"/>
                <w:lang w:val="hr-HR"/>
              </w:rPr>
              <w:t>,</w:t>
            </w:r>
            <w:r w:rsidR="00450885">
              <w:rPr>
                <w:b/>
                <w:bCs/>
                <w:i/>
                <w:iCs/>
                <w:color w:val="000000"/>
                <w:sz w:val="20"/>
                <w:szCs w:val="20"/>
                <w:lang w:val="hr-HR"/>
              </w:rPr>
              <w:t>64</w:t>
            </w:r>
            <w:r w:rsidR="00EE13D8" w:rsidRPr="00FA1939">
              <w:rPr>
                <w:b/>
                <w:bCs/>
                <w:i/>
                <w:iCs/>
                <w:color w:val="000000"/>
                <w:sz w:val="20"/>
                <w:szCs w:val="20"/>
                <w:lang w:val="hr-HR"/>
              </w:rPr>
              <w:t xml:space="preserve"> €</w:t>
            </w:r>
          </w:p>
        </w:tc>
        <w:tc>
          <w:tcPr>
            <w:tcW w:w="1540" w:type="dxa"/>
            <w:shd w:val="clear" w:color="auto" w:fill="auto"/>
            <w:noWrap/>
            <w:vAlign w:val="center"/>
            <w:hideMark/>
          </w:tcPr>
          <w:p w14:paraId="4C34F635" w14:textId="4F8180B0" w:rsidR="00EE13D8" w:rsidRPr="00FA1939" w:rsidRDefault="008061B5" w:rsidP="004C15F2">
            <w:pPr>
              <w:jc w:val="right"/>
              <w:rPr>
                <w:b/>
                <w:bCs/>
                <w:i/>
                <w:iCs/>
                <w:color w:val="000000"/>
                <w:sz w:val="20"/>
                <w:szCs w:val="20"/>
                <w:lang w:val="hr-HR"/>
              </w:rPr>
            </w:pPr>
            <w:r>
              <w:rPr>
                <w:b/>
                <w:bCs/>
                <w:i/>
                <w:iCs/>
                <w:color w:val="000000"/>
                <w:sz w:val="20"/>
                <w:szCs w:val="20"/>
                <w:lang w:val="hr-HR"/>
              </w:rPr>
              <w:t>297</w:t>
            </w:r>
            <w:r w:rsidR="00EE13D8" w:rsidRPr="00FA1939">
              <w:rPr>
                <w:b/>
                <w:bCs/>
                <w:i/>
                <w:iCs/>
                <w:color w:val="000000"/>
                <w:sz w:val="20"/>
                <w:szCs w:val="20"/>
                <w:lang w:val="hr-HR"/>
              </w:rPr>
              <w:t>.</w:t>
            </w:r>
            <w:r>
              <w:rPr>
                <w:b/>
                <w:bCs/>
                <w:i/>
                <w:iCs/>
                <w:color w:val="000000"/>
                <w:sz w:val="20"/>
                <w:szCs w:val="20"/>
                <w:lang w:val="hr-HR"/>
              </w:rPr>
              <w:t>571</w:t>
            </w:r>
            <w:r w:rsidR="00EE13D8" w:rsidRPr="00FA1939">
              <w:rPr>
                <w:b/>
                <w:bCs/>
                <w:i/>
                <w:iCs/>
                <w:color w:val="000000"/>
                <w:sz w:val="20"/>
                <w:szCs w:val="20"/>
                <w:lang w:val="hr-HR"/>
              </w:rPr>
              <w:t>,</w:t>
            </w:r>
            <w:r>
              <w:rPr>
                <w:b/>
                <w:bCs/>
                <w:i/>
                <w:iCs/>
                <w:color w:val="000000"/>
                <w:sz w:val="20"/>
                <w:szCs w:val="20"/>
                <w:lang w:val="hr-HR"/>
              </w:rPr>
              <w:t>93</w:t>
            </w:r>
            <w:r w:rsidR="00EE13D8" w:rsidRPr="00FA1939">
              <w:rPr>
                <w:b/>
                <w:bCs/>
                <w:i/>
                <w:iCs/>
                <w:color w:val="000000"/>
                <w:sz w:val="20"/>
                <w:szCs w:val="20"/>
                <w:lang w:val="hr-HR"/>
              </w:rPr>
              <w:t xml:space="preserve"> €</w:t>
            </w:r>
          </w:p>
        </w:tc>
        <w:tc>
          <w:tcPr>
            <w:tcW w:w="1100" w:type="dxa"/>
            <w:shd w:val="clear" w:color="000000" w:fill="FFFFFF"/>
            <w:noWrap/>
            <w:vAlign w:val="center"/>
            <w:hideMark/>
          </w:tcPr>
          <w:p w14:paraId="26D63801" w14:textId="524D41A1"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9</w:t>
            </w:r>
            <w:r w:rsidR="008061B5">
              <w:rPr>
                <w:rFonts w:ascii="Calibri" w:hAnsi="Calibri" w:cs="Calibri"/>
                <w:color w:val="000000"/>
                <w:sz w:val="20"/>
                <w:szCs w:val="20"/>
                <w:lang w:val="hr-HR"/>
              </w:rPr>
              <w:t>7</w:t>
            </w:r>
          </w:p>
        </w:tc>
      </w:tr>
      <w:tr w:rsidR="00EE13D8" w:rsidRPr="00FA1939" w14:paraId="4029F836" w14:textId="77777777" w:rsidTr="008061B5">
        <w:trPr>
          <w:trHeight w:val="499"/>
        </w:trPr>
        <w:tc>
          <w:tcPr>
            <w:tcW w:w="879" w:type="dxa"/>
            <w:shd w:val="clear" w:color="auto" w:fill="auto"/>
            <w:noWrap/>
            <w:vAlign w:val="center"/>
            <w:hideMark/>
          </w:tcPr>
          <w:p w14:paraId="49F5D8F6" w14:textId="77777777" w:rsidR="00EE13D8" w:rsidRPr="00FA1939" w:rsidRDefault="00EE13D8" w:rsidP="004C15F2">
            <w:pPr>
              <w:jc w:val="center"/>
              <w:rPr>
                <w:color w:val="000000"/>
                <w:sz w:val="20"/>
                <w:szCs w:val="20"/>
                <w:lang w:val="hr-HR"/>
              </w:rPr>
            </w:pPr>
            <w:r w:rsidRPr="00FA1939">
              <w:rPr>
                <w:color w:val="000000"/>
                <w:sz w:val="20"/>
                <w:szCs w:val="20"/>
                <w:lang w:val="hr-HR"/>
              </w:rPr>
              <w:t>6526</w:t>
            </w:r>
          </w:p>
        </w:tc>
        <w:tc>
          <w:tcPr>
            <w:tcW w:w="4158" w:type="dxa"/>
            <w:shd w:val="clear" w:color="auto" w:fill="auto"/>
            <w:noWrap/>
            <w:vAlign w:val="center"/>
            <w:hideMark/>
          </w:tcPr>
          <w:p w14:paraId="7791216B" w14:textId="77777777" w:rsidR="00EE13D8" w:rsidRPr="00FA1939" w:rsidRDefault="00EE13D8" w:rsidP="004C15F2">
            <w:pPr>
              <w:rPr>
                <w:color w:val="000000"/>
                <w:sz w:val="20"/>
                <w:szCs w:val="20"/>
                <w:lang w:val="hr-HR"/>
              </w:rPr>
            </w:pPr>
            <w:r w:rsidRPr="00FA1939">
              <w:rPr>
                <w:color w:val="000000"/>
                <w:sz w:val="20"/>
                <w:szCs w:val="20"/>
                <w:lang w:val="hr-HR"/>
              </w:rPr>
              <w:t>Ostali prihodi - roditeljska uplata</w:t>
            </w:r>
          </w:p>
        </w:tc>
        <w:tc>
          <w:tcPr>
            <w:tcW w:w="1647" w:type="dxa"/>
            <w:shd w:val="clear" w:color="auto" w:fill="auto"/>
            <w:noWrap/>
            <w:vAlign w:val="center"/>
            <w:hideMark/>
          </w:tcPr>
          <w:p w14:paraId="15BC04BA" w14:textId="55DF0714" w:rsidR="00EE13D8" w:rsidRPr="00FA1939" w:rsidRDefault="005F426F" w:rsidP="004C15F2">
            <w:pPr>
              <w:jc w:val="right"/>
              <w:rPr>
                <w:color w:val="000000"/>
                <w:sz w:val="20"/>
                <w:szCs w:val="20"/>
                <w:lang w:val="hr-HR"/>
              </w:rPr>
            </w:pPr>
            <w:r w:rsidRPr="00FA1939">
              <w:rPr>
                <w:color w:val="000000"/>
                <w:sz w:val="20"/>
                <w:szCs w:val="20"/>
                <w:lang w:val="hr-HR"/>
              </w:rPr>
              <w:t>30</w:t>
            </w:r>
            <w:r w:rsidR="008061B5">
              <w:rPr>
                <w:color w:val="000000"/>
                <w:sz w:val="20"/>
                <w:szCs w:val="20"/>
                <w:lang w:val="hr-HR"/>
              </w:rPr>
              <w:t>7</w:t>
            </w:r>
            <w:r w:rsidRPr="00FA1939">
              <w:rPr>
                <w:color w:val="000000"/>
                <w:sz w:val="20"/>
                <w:szCs w:val="20"/>
                <w:lang w:val="hr-HR"/>
              </w:rPr>
              <w:t>.</w:t>
            </w:r>
            <w:r w:rsidR="008061B5">
              <w:rPr>
                <w:color w:val="000000"/>
                <w:sz w:val="20"/>
                <w:szCs w:val="20"/>
                <w:lang w:val="hr-HR"/>
              </w:rPr>
              <w:t>228,64</w:t>
            </w:r>
            <w:r w:rsidR="00EE13D8" w:rsidRPr="00FA1939">
              <w:rPr>
                <w:color w:val="000000"/>
                <w:sz w:val="20"/>
                <w:szCs w:val="20"/>
                <w:lang w:val="hr-HR"/>
              </w:rPr>
              <w:t xml:space="preserve"> €</w:t>
            </w:r>
          </w:p>
        </w:tc>
        <w:tc>
          <w:tcPr>
            <w:tcW w:w="1540" w:type="dxa"/>
            <w:shd w:val="clear" w:color="auto" w:fill="auto"/>
            <w:noWrap/>
            <w:vAlign w:val="center"/>
            <w:hideMark/>
          </w:tcPr>
          <w:p w14:paraId="690E1AFA" w14:textId="7A58A686" w:rsidR="00EE13D8" w:rsidRPr="00FA1939" w:rsidRDefault="008061B5" w:rsidP="004C15F2">
            <w:pPr>
              <w:jc w:val="right"/>
              <w:rPr>
                <w:color w:val="000000"/>
                <w:sz w:val="20"/>
                <w:szCs w:val="20"/>
                <w:lang w:val="hr-HR"/>
              </w:rPr>
            </w:pPr>
            <w:r>
              <w:rPr>
                <w:color w:val="000000"/>
                <w:sz w:val="20"/>
                <w:szCs w:val="20"/>
                <w:lang w:val="hr-HR"/>
              </w:rPr>
              <w:t>29</w:t>
            </w:r>
            <w:r w:rsidR="005F426F" w:rsidRPr="00FA1939">
              <w:rPr>
                <w:color w:val="000000"/>
                <w:sz w:val="20"/>
                <w:szCs w:val="20"/>
                <w:lang w:val="hr-HR"/>
              </w:rPr>
              <w:t>7.</w:t>
            </w:r>
            <w:r>
              <w:rPr>
                <w:color w:val="000000"/>
                <w:sz w:val="20"/>
                <w:szCs w:val="20"/>
                <w:lang w:val="hr-HR"/>
              </w:rPr>
              <w:t>571</w:t>
            </w:r>
            <w:r w:rsidR="005F426F" w:rsidRPr="00FA1939">
              <w:rPr>
                <w:color w:val="000000"/>
                <w:sz w:val="20"/>
                <w:szCs w:val="20"/>
                <w:lang w:val="hr-HR"/>
              </w:rPr>
              <w:t>,</w:t>
            </w:r>
            <w:r>
              <w:rPr>
                <w:color w:val="000000"/>
                <w:sz w:val="20"/>
                <w:szCs w:val="20"/>
                <w:lang w:val="hr-HR"/>
              </w:rPr>
              <w:t>93</w:t>
            </w:r>
            <w:r w:rsidR="00EE13D8" w:rsidRPr="00FA1939">
              <w:rPr>
                <w:color w:val="000000"/>
                <w:sz w:val="20"/>
                <w:szCs w:val="20"/>
                <w:lang w:val="hr-HR"/>
              </w:rPr>
              <w:t xml:space="preserve"> €</w:t>
            </w:r>
          </w:p>
        </w:tc>
        <w:tc>
          <w:tcPr>
            <w:tcW w:w="1100" w:type="dxa"/>
            <w:shd w:val="clear" w:color="000000" w:fill="FFFFFF"/>
            <w:noWrap/>
            <w:vAlign w:val="center"/>
            <w:hideMark/>
          </w:tcPr>
          <w:p w14:paraId="5D2DC6A1" w14:textId="38C3E756" w:rsidR="00EE13D8" w:rsidRPr="00FA1939" w:rsidRDefault="000E68F7" w:rsidP="004C15F2">
            <w:pPr>
              <w:jc w:val="center"/>
              <w:rPr>
                <w:rFonts w:ascii="Calibri" w:hAnsi="Calibri" w:cs="Calibri"/>
                <w:color w:val="000000"/>
                <w:sz w:val="20"/>
                <w:szCs w:val="20"/>
                <w:lang w:val="hr-HR"/>
              </w:rPr>
            </w:pPr>
            <w:r>
              <w:rPr>
                <w:rFonts w:ascii="Calibri" w:hAnsi="Calibri" w:cs="Calibri"/>
                <w:color w:val="000000"/>
                <w:sz w:val="20"/>
                <w:szCs w:val="20"/>
                <w:lang w:val="hr-HR"/>
              </w:rPr>
              <w:t>9</w:t>
            </w:r>
            <w:r w:rsidR="008061B5">
              <w:rPr>
                <w:rFonts w:ascii="Calibri" w:hAnsi="Calibri" w:cs="Calibri"/>
                <w:color w:val="000000"/>
                <w:sz w:val="20"/>
                <w:szCs w:val="20"/>
                <w:lang w:val="hr-HR"/>
              </w:rPr>
              <w:t>7</w:t>
            </w:r>
            <w:r w:rsidR="00EE13D8" w:rsidRPr="00FA1939">
              <w:rPr>
                <w:rFonts w:ascii="Calibri" w:hAnsi="Calibri" w:cs="Calibri"/>
                <w:color w:val="000000"/>
                <w:sz w:val="20"/>
                <w:szCs w:val="20"/>
                <w:lang w:val="hr-HR"/>
              </w:rPr>
              <w:t> </w:t>
            </w:r>
          </w:p>
        </w:tc>
      </w:tr>
      <w:tr w:rsidR="008061B5" w:rsidRPr="00FA1939" w14:paraId="6FB0F289" w14:textId="77777777" w:rsidTr="008061B5">
        <w:trPr>
          <w:trHeight w:val="499"/>
        </w:trPr>
        <w:tc>
          <w:tcPr>
            <w:tcW w:w="879" w:type="dxa"/>
            <w:shd w:val="clear" w:color="auto" w:fill="auto"/>
            <w:noWrap/>
            <w:vAlign w:val="center"/>
          </w:tcPr>
          <w:p w14:paraId="0107C5A3" w14:textId="430D9913" w:rsidR="008061B5" w:rsidRPr="008061B5" w:rsidRDefault="008061B5" w:rsidP="004C15F2">
            <w:pPr>
              <w:jc w:val="center"/>
              <w:rPr>
                <w:b/>
                <w:bCs/>
                <w:color w:val="000000"/>
                <w:sz w:val="20"/>
                <w:szCs w:val="20"/>
                <w:lang w:val="hr-HR"/>
              </w:rPr>
            </w:pPr>
            <w:r w:rsidRPr="008061B5">
              <w:rPr>
                <w:b/>
                <w:bCs/>
                <w:color w:val="000000"/>
                <w:sz w:val="20"/>
                <w:szCs w:val="20"/>
                <w:lang w:val="hr-HR"/>
              </w:rPr>
              <w:t>663</w:t>
            </w:r>
          </w:p>
        </w:tc>
        <w:tc>
          <w:tcPr>
            <w:tcW w:w="4158" w:type="dxa"/>
            <w:shd w:val="clear" w:color="auto" w:fill="auto"/>
            <w:noWrap/>
            <w:vAlign w:val="center"/>
          </w:tcPr>
          <w:p w14:paraId="2235A794" w14:textId="5A9AF636" w:rsidR="008061B5" w:rsidRPr="008061B5" w:rsidRDefault="008061B5" w:rsidP="004C15F2">
            <w:pPr>
              <w:rPr>
                <w:b/>
                <w:bCs/>
                <w:color w:val="000000"/>
                <w:sz w:val="20"/>
                <w:szCs w:val="20"/>
                <w:lang w:val="hr-HR"/>
              </w:rPr>
            </w:pPr>
            <w:r w:rsidRPr="008061B5">
              <w:rPr>
                <w:b/>
                <w:bCs/>
                <w:i/>
                <w:iCs/>
                <w:color w:val="000000"/>
                <w:sz w:val="20"/>
                <w:szCs w:val="20"/>
                <w:lang w:val="hr-HR"/>
              </w:rPr>
              <w:t>Donacije od pravnih i fizičkih osoba izvan općeg proračuna</w:t>
            </w:r>
          </w:p>
        </w:tc>
        <w:tc>
          <w:tcPr>
            <w:tcW w:w="1647" w:type="dxa"/>
            <w:shd w:val="clear" w:color="auto" w:fill="auto"/>
            <w:noWrap/>
            <w:vAlign w:val="center"/>
          </w:tcPr>
          <w:p w14:paraId="7F6A966E" w14:textId="5FA8161A" w:rsidR="008061B5" w:rsidRPr="008061B5" w:rsidRDefault="008061B5" w:rsidP="004C15F2">
            <w:pPr>
              <w:jc w:val="right"/>
              <w:rPr>
                <w:b/>
                <w:bCs/>
                <w:i/>
                <w:iCs/>
                <w:color w:val="000000"/>
                <w:sz w:val="20"/>
                <w:szCs w:val="20"/>
                <w:lang w:val="hr-HR"/>
              </w:rPr>
            </w:pPr>
            <w:r w:rsidRPr="008061B5">
              <w:rPr>
                <w:b/>
                <w:bCs/>
                <w:i/>
                <w:iCs/>
                <w:color w:val="000000"/>
                <w:sz w:val="20"/>
                <w:szCs w:val="20"/>
                <w:lang w:val="hr-HR"/>
              </w:rPr>
              <w:t>0,00</w:t>
            </w:r>
            <w:r>
              <w:rPr>
                <w:b/>
                <w:bCs/>
                <w:i/>
                <w:iCs/>
                <w:color w:val="000000"/>
                <w:sz w:val="20"/>
                <w:szCs w:val="20"/>
                <w:lang w:val="hr-HR"/>
              </w:rPr>
              <w:t xml:space="preserve"> €</w:t>
            </w:r>
          </w:p>
        </w:tc>
        <w:tc>
          <w:tcPr>
            <w:tcW w:w="1540" w:type="dxa"/>
            <w:shd w:val="clear" w:color="auto" w:fill="auto"/>
            <w:noWrap/>
            <w:vAlign w:val="center"/>
          </w:tcPr>
          <w:p w14:paraId="3719F21C" w14:textId="0E3F1756" w:rsidR="008061B5" w:rsidRPr="008061B5" w:rsidRDefault="008061B5" w:rsidP="004C15F2">
            <w:pPr>
              <w:jc w:val="right"/>
              <w:rPr>
                <w:b/>
                <w:bCs/>
                <w:i/>
                <w:iCs/>
                <w:color w:val="000000"/>
                <w:sz w:val="20"/>
                <w:szCs w:val="20"/>
                <w:lang w:val="hr-HR"/>
              </w:rPr>
            </w:pPr>
            <w:r w:rsidRPr="008061B5">
              <w:rPr>
                <w:b/>
                <w:bCs/>
                <w:i/>
                <w:iCs/>
                <w:color w:val="000000"/>
                <w:sz w:val="20"/>
                <w:szCs w:val="20"/>
                <w:lang w:val="hr-HR"/>
              </w:rPr>
              <w:t>1.500,00</w:t>
            </w:r>
            <w:r>
              <w:rPr>
                <w:b/>
                <w:bCs/>
                <w:i/>
                <w:iCs/>
                <w:color w:val="000000"/>
                <w:sz w:val="20"/>
                <w:szCs w:val="20"/>
                <w:lang w:val="hr-HR"/>
              </w:rPr>
              <w:t xml:space="preserve"> €</w:t>
            </w:r>
          </w:p>
        </w:tc>
        <w:tc>
          <w:tcPr>
            <w:tcW w:w="1100" w:type="dxa"/>
            <w:shd w:val="clear" w:color="000000" w:fill="FFFFFF"/>
            <w:noWrap/>
            <w:vAlign w:val="center"/>
          </w:tcPr>
          <w:p w14:paraId="7969ECDE" w14:textId="29B8B947" w:rsidR="008061B5" w:rsidRDefault="008061B5" w:rsidP="004C15F2">
            <w:pPr>
              <w:jc w:val="center"/>
              <w:rPr>
                <w:rFonts w:ascii="Calibri" w:hAnsi="Calibri" w:cs="Calibri"/>
                <w:color w:val="000000"/>
                <w:sz w:val="20"/>
                <w:szCs w:val="20"/>
                <w:lang w:val="hr-HR"/>
              </w:rPr>
            </w:pPr>
            <w:r>
              <w:rPr>
                <w:rFonts w:ascii="Calibri" w:hAnsi="Calibri" w:cs="Calibri"/>
                <w:color w:val="000000"/>
                <w:sz w:val="20"/>
                <w:szCs w:val="20"/>
                <w:lang w:val="hr-HR"/>
              </w:rPr>
              <w:t>0</w:t>
            </w:r>
          </w:p>
        </w:tc>
      </w:tr>
      <w:tr w:rsidR="008061B5" w:rsidRPr="00FA1939" w14:paraId="54683ABC" w14:textId="77777777" w:rsidTr="008061B5">
        <w:trPr>
          <w:trHeight w:val="499"/>
        </w:trPr>
        <w:tc>
          <w:tcPr>
            <w:tcW w:w="879" w:type="dxa"/>
            <w:shd w:val="clear" w:color="auto" w:fill="auto"/>
            <w:noWrap/>
            <w:vAlign w:val="center"/>
          </w:tcPr>
          <w:p w14:paraId="7E186A64" w14:textId="4F02E56D" w:rsidR="008061B5" w:rsidRDefault="008061B5" w:rsidP="004C15F2">
            <w:pPr>
              <w:jc w:val="center"/>
              <w:rPr>
                <w:color w:val="000000"/>
                <w:sz w:val="20"/>
                <w:szCs w:val="20"/>
                <w:lang w:val="hr-HR"/>
              </w:rPr>
            </w:pPr>
            <w:r>
              <w:rPr>
                <w:color w:val="000000"/>
                <w:sz w:val="20"/>
                <w:szCs w:val="20"/>
                <w:lang w:val="hr-HR"/>
              </w:rPr>
              <w:t>6631</w:t>
            </w:r>
          </w:p>
        </w:tc>
        <w:tc>
          <w:tcPr>
            <w:tcW w:w="4158" w:type="dxa"/>
            <w:shd w:val="clear" w:color="auto" w:fill="auto"/>
            <w:noWrap/>
            <w:vAlign w:val="center"/>
          </w:tcPr>
          <w:p w14:paraId="09B6873A" w14:textId="09A1389C" w:rsidR="008061B5" w:rsidRDefault="008061B5" w:rsidP="004C15F2">
            <w:pPr>
              <w:rPr>
                <w:color w:val="000000"/>
                <w:sz w:val="20"/>
                <w:szCs w:val="20"/>
                <w:lang w:val="hr-HR"/>
              </w:rPr>
            </w:pPr>
            <w:r>
              <w:rPr>
                <w:color w:val="000000"/>
                <w:sz w:val="20"/>
                <w:szCs w:val="20"/>
                <w:lang w:val="hr-HR"/>
              </w:rPr>
              <w:t>Donacije od pravnih i fizičkih osoba izvan općeg proračuna</w:t>
            </w:r>
          </w:p>
        </w:tc>
        <w:tc>
          <w:tcPr>
            <w:tcW w:w="1647" w:type="dxa"/>
            <w:shd w:val="clear" w:color="auto" w:fill="auto"/>
            <w:noWrap/>
            <w:vAlign w:val="center"/>
          </w:tcPr>
          <w:p w14:paraId="3A6E6A27" w14:textId="046D9B13" w:rsidR="008061B5" w:rsidRDefault="008061B5" w:rsidP="004C15F2">
            <w:pPr>
              <w:jc w:val="right"/>
              <w:rPr>
                <w:color w:val="000000"/>
                <w:sz w:val="20"/>
                <w:szCs w:val="20"/>
                <w:lang w:val="hr-HR"/>
              </w:rPr>
            </w:pPr>
            <w:r>
              <w:rPr>
                <w:color w:val="000000"/>
                <w:sz w:val="20"/>
                <w:szCs w:val="20"/>
                <w:lang w:val="hr-HR"/>
              </w:rPr>
              <w:t>0,00 €</w:t>
            </w:r>
          </w:p>
        </w:tc>
        <w:tc>
          <w:tcPr>
            <w:tcW w:w="1540" w:type="dxa"/>
            <w:shd w:val="clear" w:color="auto" w:fill="auto"/>
            <w:noWrap/>
            <w:vAlign w:val="center"/>
          </w:tcPr>
          <w:p w14:paraId="38EB28D8" w14:textId="2BBA9756" w:rsidR="008061B5" w:rsidRDefault="008061B5" w:rsidP="004C15F2">
            <w:pPr>
              <w:jc w:val="right"/>
              <w:rPr>
                <w:color w:val="000000"/>
                <w:sz w:val="20"/>
                <w:szCs w:val="20"/>
                <w:lang w:val="hr-HR"/>
              </w:rPr>
            </w:pPr>
            <w:r>
              <w:rPr>
                <w:color w:val="000000"/>
                <w:sz w:val="20"/>
                <w:szCs w:val="20"/>
                <w:lang w:val="hr-HR"/>
              </w:rPr>
              <w:t>1.500,00 €</w:t>
            </w:r>
          </w:p>
        </w:tc>
        <w:tc>
          <w:tcPr>
            <w:tcW w:w="1100" w:type="dxa"/>
            <w:shd w:val="clear" w:color="000000" w:fill="FFFFFF"/>
            <w:noWrap/>
            <w:vAlign w:val="center"/>
          </w:tcPr>
          <w:p w14:paraId="308AB5AB" w14:textId="6F5E3891" w:rsidR="008061B5" w:rsidRDefault="008061B5" w:rsidP="004C15F2">
            <w:pPr>
              <w:jc w:val="center"/>
              <w:rPr>
                <w:rFonts w:ascii="Calibri" w:hAnsi="Calibri" w:cs="Calibri"/>
                <w:color w:val="000000"/>
                <w:sz w:val="20"/>
                <w:szCs w:val="20"/>
                <w:lang w:val="hr-HR"/>
              </w:rPr>
            </w:pPr>
            <w:r>
              <w:rPr>
                <w:rFonts w:ascii="Calibri" w:hAnsi="Calibri" w:cs="Calibri"/>
                <w:color w:val="000000"/>
                <w:sz w:val="20"/>
                <w:szCs w:val="20"/>
                <w:lang w:val="hr-HR"/>
              </w:rPr>
              <w:t>0</w:t>
            </w:r>
          </w:p>
        </w:tc>
      </w:tr>
      <w:tr w:rsidR="00EE13D8" w:rsidRPr="00FA1939" w14:paraId="0D84F925" w14:textId="77777777" w:rsidTr="008061B5">
        <w:trPr>
          <w:trHeight w:val="499"/>
        </w:trPr>
        <w:tc>
          <w:tcPr>
            <w:tcW w:w="879" w:type="dxa"/>
            <w:shd w:val="clear" w:color="auto" w:fill="auto"/>
            <w:noWrap/>
            <w:vAlign w:val="center"/>
            <w:hideMark/>
          </w:tcPr>
          <w:p w14:paraId="252414C6"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671</w:t>
            </w:r>
          </w:p>
        </w:tc>
        <w:tc>
          <w:tcPr>
            <w:tcW w:w="4158" w:type="dxa"/>
            <w:shd w:val="clear" w:color="auto" w:fill="auto"/>
            <w:noWrap/>
            <w:vAlign w:val="center"/>
            <w:hideMark/>
          </w:tcPr>
          <w:p w14:paraId="743DABA5"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Prihodi iz nadležnog proračuna</w:t>
            </w:r>
          </w:p>
        </w:tc>
        <w:tc>
          <w:tcPr>
            <w:tcW w:w="1647" w:type="dxa"/>
            <w:shd w:val="clear" w:color="auto" w:fill="auto"/>
            <w:noWrap/>
            <w:vAlign w:val="center"/>
            <w:hideMark/>
          </w:tcPr>
          <w:p w14:paraId="7CEED039" w14:textId="6951C604" w:rsidR="00EE13D8" w:rsidRPr="00FA1939" w:rsidRDefault="00ED7B1E" w:rsidP="004C15F2">
            <w:pPr>
              <w:jc w:val="right"/>
              <w:rPr>
                <w:b/>
                <w:bCs/>
                <w:i/>
                <w:iCs/>
                <w:color w:val="000000"/>
                <w:sz w:val="20"/>
                <w:szCs w:val="20"/>
                <w:lang w:val="hr-HR"/>
              </w:rPr>
            </w:pPr>
            <w:r>
              <w:rPr>
                <w:b/>
                <w:bCs/>
                <w:i/>
                <w:iCs/>
                <w:color w:val="000000"/>
                <w:sz w:val="20"/>
                <w:szCs w:val="20"/>
                <w:lang w:val="hr-HR"/>
              </w:rPr>
              <w:t>660</w:t>
            </w:r>
            <w:r w:rsidR="005F426F" w:rsidRPr="00FA1939">
              <w:rPr>
                <w:b/>
                <w:bCs/>
                <w:i/>
                <w:iCs/>
                <w:color w:val="000000"/>
                <w:sz w:val="20"/>
                <w:szCs w:val="20"/>
                <w:lang w:val="hr-HR"/>
              </w:rPr>
              <w:t>.</w:t>
            </w:r>
            <w:r>
              <w:rPr>
                <w:b/>
                <w:bCs/>
                <w:i/>
                <w:iCs/>
                <w:color w:val="000000"/>
                <w:sz w:val="20"/>
                <w:szCs w:val="20"/>
                <w:lang w:val="hr-HR"/>
              </w:rPr>
              <w:t>500</w:t>
            </w:r>
            <w:r w:rsidR="005F426F" w:rsidRPr="00FA1939">
              <w:rPr>
                <w:b/>
                <w:bCs/>
                <w:i/>
                <w:iCs/>
                <w:color w:val="000000"/>
                <w:sz w:val="20"/>
                <w:szCs w:val="20"/>
                <w:lang w:val="hr-HR"/>
              </w:rPr>
              <w:t>,00</w:t>
            </w:r>
            <w:r w:rsidR="00EE13D8" w:rsidRPr="00FA1939">
              <w:rPr>
                <w:b/>
                <w:bCs/>
                <w:i/>
                <w:iCs/>
                <w:color w:val="000000"/>
                <w:sz w:val="20"/>
                <w:szCs w:val="20"/>
                <w:lang w:val="hr-HR"/>
              </w:rPr>
              <w:t xml:space="preserve"> €</w:t>
            </w:r>
          </w:p>
        </w:tc>
        <w:tc>
          <w:tcPr>
            <w:tcW w:w="1540" w:type="dxa"/>
            <w:shd w:val="clear" w:color="auto" w:fill="auto"/>
            <w:noWrap/>
            <w:vAlign w:val="center"/>
            <w:hideMark/>
          </w:tcPr>
          <w:p w14:paraId="70B72180" w14:textId="213A5353" w:rsidR="00EE13D8" w:rsidRPr="00FA1939" w:rsidRDefault="00ED7B1E" w:rsidP="00ED7B1E">
            <w:pPr>
              <w:jc w:val="center"/>
              <w:rPr>
                <w:b/>
                <w:bCs/>
                <w:i/>
                <w:iCs/>
                <w:color w:val="000000"/>
                <w:sz w:val="20"/>
                <w:szCs w:val="20"/>
                <w:lang w:val="hr-HR"/>
              </w:rPr>
            </w:pPr>
            <w:r>
              <w:rPr>
                <w:b/>
                <w:bCs/>
                <w:i/>
                <w:iCs/>
                <w:color w:val="000000"/>
                <w:sz w:val="20"/>
                <w:szCs w:val="20"/>
                <w:lang w:val="hr-HR"/>
              </w:rPr>
              <w:t>870.321</w:t>
            </w:r>
            <w:r w:rsidR="005F426F" w:rsidRPr="00FA1939">
              <w:rPr>
                <w:b/>
                <w:bCs/>
                <w:i/>
                <w:iCs/>
                <w:color w:val="000000"/>
                <w:sz w:val="20"/>
                <w:szCs w:val="20"/>
                <w:lang w:val="hr-HR"/>
              </w:rPr>
              <w:t>,</w:t>
            </w:r>
            <w:r>
              <w:rPr>
                <w:b/>
                <w:bCs/>
                <w:i/>
                <w:iCs/>
                <w:color w:val="000000"/>
                <w:sz w:val="20"/>
                <w:szCs w:val="20"/>
                <w:lang w:val="hr-HR"/>
              </w:rPr>
              <w:t>1</w:t>
            </w:r>
            <w:r w:rsidR="005F426F" w:rsidRPr="00FA1939">
              <w:rPr>
                <w:b/>
                <w:bCs/>
                <w:i/>
                <w:iCs/>
                <w:color w:val="000000"/>
                <w:sz w:val="20"/>
                <w:szCs w:val="20"/>
                <w:lang w:val="hr-HR"/>
              </w:rPr>
              <w:t>0</w:t>
            </w:r>
            <w:r w:rsidR="00EE13D8" w:rsidRPr="00FA1939">
              <w:rPr>
                <w:b/>
                <w:bCs/>
                <w:i/>
                <w:iCs/>
                <w:color w:val="000000"/>
                <w:sz w:val="20"/>
                <w:szCs w:val="20"/>
                <w:lang w:val="hr-HR"/>
              </w:rPr>
              <w:t xml:space="preserve"> €</w:t>
            </w:r>
          </w:p>
        </w:tc>
        <w:tc>
          <w:tcPr>
            <w:tcW w:w="1100" w:type="dxa"/>
            <w:shd w:val="clear" w:color="000000" w:fill="FFFFFF"/>
            <w:noWrap/>
            <w:vAlign w:val="center"/>
            <w:hideMark/>
          </w:tcPr>
          <w:p w14:paraId="3C8D2303" w14:textId="16B6AAE5" w:rsidR="00EE13D8" w:rsidRPr="00FA1939" w:rsidRDefault="00ED7B1E" w:rsidP="004C15F2">
            <w:pPr>
              <w:jc w:val="center"/>
              <w:rPr>
                <w:rFonts w:ascii="Calibri" w:hAnsi="Calibri" w:cs="Calibri"/>
                <w:color w:val="000000"/>
                <w:sz w:val="20"/>
                <w:szCs w:val="20"/>
                <w:lang w:val="hr-HR"/>
              </w:rPr>
            </w:pPr>
            <w:r>
              <w:rPr>
                <w:rFonts w:ascii="Calibri" w:hAnsi="Calibri" w:cs="Calibri"/>
                <w:color w:val="000000"/>
                <w:sz w:val="20"/>
                <w:szCs w:val="20"/>
                <w:lang w:val="hr-HR"/>
              </w:rPr>
              <w:t>132</w:t>
            </w:r>
          </w:p>
        </w:tc>
      </w:tr>
      <w:tr w:rsidR="00EE13D8" w:rsidRPr="00FA1939" w14:paraId="07FBB440" w14:textId="77777777" w:rsidTr="008061B5">
        <w:trPr>
          <w:trHeight w:val="525"/>
        </w:trPr>
        <w:tc>
          <w:tcPr>
            <w:tcW w:w="879" w:type="dxa"/>
            <w:shd w:val="clear" w:color="auto" w:fill="auto"/>
            <w:noWrap/>
            <w:vAlign w:val="center"/>
            <w:hideMark/>
          </w:tcPr>
          <w:p w14:paraId="4156A5C2" w14:textId="77777777" w:rsidR="00EE13D8" w:rsidRPr="00FA1939" w:rsidRDefault="00EE13D8" w:rsidP="004C15F2">
            <w:pPr>
              <w:jc w:val="center"/>
              <w:rPr>
                <w:color w:val="000000"/>
                <w:sz w:val="20"/>
                <w:szCs w:val="20"/>
                <w:lang w:val="hr-HR"/>
              </w:rPr>
            </w:pPr>
            <w:r w:rsidRPr="00FA1939">
              <w:rPr>
                <w:color w:val="000000"/>
                <w:sz w:val="20"/>
                <w:szCs w:val="20"/>
                <w:lang w:val="hr-HR"/>
              </w:rPr>
              <w:t>6711</w:t>
            </w:r>
          </w:p>
        </w:tc>
        <w:tc>
          <w:tcPr>
            <w:tcW w:w="4158" w:type="dxa"/>
            <w:shd w:val="clear" w:color="auto" w:fill="auto"/>
            <w:noWrap/>
            <w:vAlign w:val="center"/>
            <w:hideMark/>
          </w:tcPr>
          <w:p w14:paraId="3421C87D" w14:textId="77777777" w:rsidR="00EE13D8" w:rsidRPr="00FA1939" w:rsidRDefault="00EE13D8" w:rsidP="004C15F2">
            <w:pPr>
              <w:rPr>
                <w:color w:val="000000"/>
                <w:sz w:val="20"/>
                <w:szCs w:val="20"/>
                <w:lang w:val="hr-HR"/>
              </w:rPr>
            </w:pPr>
            <w:r w:rsidRPr="00FA1939">
              <w:rPr>
                <w:color w:val="000000"/>
                <w:sz w:val="20"/>
                <w:szCs w:val="20"/>
                <w:lang w:val="hr-HR"/>
              </w:rPr>
              <w:t xml:space="preserve">Prihodi iz nadležnog proračuna za financiranje rashoda </w:t>
            </w:r>
            <w:proofErr w:type="spellStart"/>
            <w:r w:rsidRPr="00FA1939">
              <w:rPr>
                <w:color w:val="000000"/>
                <w:sz w:val="20"/>
                <w:szCs w:val="20"/>
                <w:lang w:val="hr-HR"/>
              </w:rPr>
              <w:t>posl</w:t>
            </w:r>
            <w:proofErr w:type="spellEnd"/>
            <w:r w:rsidRPr="00FA1939">
              <w:rPr>
                <w:color w:val="000000"/>
                <w:sz w:val="20"/>
                <w:szCs w:val="20"/>
                <w:lang w:val="hr-HR"/>
              </w:rPr>
              <w:t>.</w:t>
            </w:r>
          </w:p>
        </w:tc>
        <w:tc>
          <w:tcPr>
            <w:tcW w:w="1647" w:type="dxa"/>
            <w:shd w:val="clear" w:color="auto" w:fill="auto"/>
            <w:noWrap/>
            <w:vAlign w:val="center"/>
            <w:hideMark/>
          </w:tcPr>
          <w:p w14:paraId="0F15220E" w14:textId="769B9251" w:rsidR="00EE13D8" w:rsidRPr="00FA1939" w:rsidRDefault="00ED7B1E" w:rsidP="004C15F2">
            <w:pPr>
              <w:jc w:val="right"/>
              <w:rPr>
                <w:color w:val="000000"/>
                <w:sz w:val="20"/>
                <w:szCs w:val="20"/>
                <w:lang w:val="hr-HR"/>
              </w:rPr>
            </w:pPr>
            <w:r>
              <w:rPr>
                <w:color w:val="000000"/>
                <w:sz w:val="20"/>
                <w:szCs w:val="20"/>
                <w:lang w:val="hr-HR"/>
              </w:rPr>
              <w:t>660</w:t>
            </w:r>
            <w:r w:rsidR="005F426F" w:rsidRPr="00FA1939">
              <w:rPr>
                <w:color w:val="000000"/>
                <w:sz w:val="20"/>
                <w:szCs w:val="20"/>
                <w:lang w:val="hr-HR"/>
              </w:rPr>
              <w:t>.</w:t>
            </w:r>
            <w:r>
              <w:rPr>
                <w:color w:val="000000"/>
                <w:sz w:val="20"/>
                <w:szCs w:val="20"/>
                <w:lang w:val="hr-HR"/>
              </w:rPr>
              <w:t>500</w:t>
            </w:r>
            <w:r w:rsidR="005F426F" w:rsidRPr="00FA1939">
              <w:rPr>
                <w:color w:val="000000"/>
                <w:sz w:val="20"/>
                <w:szCs w:val="20"/>
                <w:lang w:val="hr-HR"/>
              </w:rPr>
              <w:t>,00</w:t>
            </w:r>
            <w:r w:rsidR="00EE13D8" w:rsidRPr="00FA1939">
              <w:rPr>
                <w:color w:val="000000"/>
                <w:sz w:val="20"/>
                <w:szCs w:val="20"/>
                <w:lang w:val="hr-HR"/>
              </w:rPr>
              <w:t xml:space="preserve"> €</w:t>
            </w:r>
          </w:p>
        </w:tc>
        <w:tc>
          <w:tcPr>
            <w:tcW w:w="1540" w:type="dxa"/>
            <w:shd w:val="clear" w:color="auto" w:fill="auto"/>
            <w:noWrap/>
            <w:vAlign w:val="center"/>
            <w:hideMark/>
          </w:tcPr>
          <w:p w14:paraId="38C820DE" w14:textId="1EF196F3" w:rsidR="00EE13D8" w:rsidRPr="00FA1939" w:rsidRDefault="00ED7B1E" w:rsidP="004C15F2">
            <w:pPr>
              <w:jc w:val="right"/>
              <w:rPr>
                <w:color w:val="000000"/>
                <w:sz w:val="20"/>
                <w:szCs w:val="20"/>
                <w:lang w:val="hr-HR"/>
              </w:rPr>
            </w:pPr>
            <w:r>
              <w:rPr>
                <w:color w:val="000000"/>
                <w:sz w:val="20"/>
                <w:szCs w:val="20"/>
                <w:lang w:val="hr-HR"/>
              </w:rPr>
              <w:t>869</w:t>
            </w:r>
            <w:r w:rsidR="005F426F" w:rsidRPr="00FA1939">
              <w:rPr>
                <w:color w:val="000000"/>
                <w:sz w:val="20"/>
                <w:szCs w:val="20"/>
                <w:lang w:val="hr-HR"/>
              </w:rPr>
              <w:t>.</w:t>
            </w:r>
            <w:r>
              <w:rPr>
                <w:color w:val="000000"/>
                <w:sz w:val="20"/>
                <w:szCs w:val="20"/>
                <w:lang w:val="hr-HR"/>
              </w:rPr>
              <w:t>152</w:t>
            </w:r>
            <w:r w:rsidR="005F426F" w:rsidRPr="00FA1939">
              <w:rPr>
                <w:color w:val="000000"/>
                <w:sz w:val="20"/>
                <w:szCs w:val="20"/>
                <w:lang w:val="hr-HR"/>
              </w:rPr>
              <w:t>,00</w:t>
            </w:r>
            <w:r w:rsidR="00EE13D8" w:rsidRPr="00FA1939">
              <w:rPr>
                <w:color w:val="000000"/>
                <w:sz w:val="20"/>
                <w:szCs w:val="20"/>
                <w:lang w:val="hr-HR"/>
              </w:rPr>
              <w:t xml:space="preserve"> €</w:t>
            </w:r>
          </w:p>
        </w:tc>
        <w:tc>
          <w:tcPr>
            <w:tcW w:w="1100" w:type="dxa"/>
            <w:shd w:val="clear" w:color="000000" w:fill="FFFFFF"/>
            <w:noWrap/>
            <w:vAlign w:val="center"/>
            <w:hideMark/>
          </w:tcPr>
          <w:p w14:paraId="70A1BDCF"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 </w:t>
            </w:r>
            <w:r w:rsidR="005F426F" w:rsidRPr="00FA1939">
              <w:rPr>
                <w:rFonts w:ascii="Calibri" w:hAnsi="Calibri" w:cs="Calibri"/>
                <w:color w:val="000000"/>
                <w:sz w:val="20"/>
                <w:szCs w:val="20"/>
                <w:lang w:val="hr-HR"/>
              </w:rPr>
              <w:t>131</w:t>
            </w:r>
          </w:p>
        </w:tc>
      </w:tr>
      <w:tr w:rsidR="00EE13D8" w:rsidRPr="00FA1939" w14:paraId="69568F42" w14:textId="77777777" w:rsidTr="008061B5">
        <w:trPr>
          <w:trHeight w:val="570"/>
        </w:trPr>
        <w:tc>
          <w:tcPr>
            <w:tcW w:w="879" w:type="dxa"/>
            <w:shd w:val="clear" w:color="auto" w:fill="auto"/>
            <w:noWrap/>
            <w:vAlign w:val="center"/>
            <w:hideMark/>
          </w:tcPr>
          <w:p w14:paraId="5E3EAD13" w14:textId="77777777" w:rsidR="00EE13D8" w:rsidRPr="00FA1939" w:rsidRDefault="00EE13D8" w:rsidP="004C15F2">
            <w:pPr>
              <w:jc w:val="center"/>
              <w:rPr>
                <w:color w:val="000000"/>
                <w:sz w:val="20"/>
                <w:szCs w:val="20"/>
                <w:lang w:val="hr-HR"/>
              </w:rPr>
            </w:pPr>
            <w:r w:rsidRPr="00FA1939">
              <w:rPr>
                <w:color w:val="000000"/>
                <w:sz w:val="20"/>
                <w:szCs w:val="20"/>
                <w:lang w:val="hr-HR"/>
              </w:rPr>
              <w:t>6712</w:t>
            </w:r>
          </w:p>
        </w:tc>
        <w:tc>
          <w:tcPr>
            <w:tcW w:w="4158" w:type="dxa"/>
            <w:shd w:val="clear" w:color="auto" w:fill="auto"/>
            <w:vAlign w:val="center"/>
            <w:hideMark/>
          </w:tcPr>
          <w:p w14:paraId="2582AA17" w14:textId="77777777" w:rsidR="00EE13D8" w:rsidRPr="00FA1939" w:rsidRDefault="00EE13D8" w:rsidP="004C15F2">
            <w:pPr>
              <w:rPr>
                <w:color w:val="000000"/>
                <w:sz w:val="20"/>
                <w:szCs w:val="20"/>
                <w:lang w:val="hr-HR"/>
              </w:rPr>
            </w:pPr>
            <w:r w:rsidRPr="00FA1939">
              <w:rPr>
                <w:color w:val="000000"/>
                <w:sz w:val="20"/>
                <w:szCs w:val="20"/>
                <w:lang w:val="hr-HR"/>
              </w:rPr>
              <w:t>Prihodi iz nadležnog proračuna za financiranje rashoda za nabavu nefinancijske imovine</w:t>
            </w:r>
          </w:p>
        </w:tc>
        <w:tc>
          <w:tcPr>
            <w:tcW w:w="1647" w:type="dxa"/>
            <w:shd w:val="clear" w:color="auto" w:fill="auto"/>
            <w:noWrap/>
            <w:vAlign w:val="center"/>
            <w:hideMark/>
          </w:tcPr>
          <w:p w14:paraId="20C3F552" w14:textId="7ED8A655" w:rsidR="00EE13D8" w:rsidRPr="00FA1939" w:rsidRDefault="00ED7B1E" w:rsidP="004C15F2">
            <w:pPr>
              <w:jc w:val="right"/>
              <w:rPr>
                <w:color w:val="000000"/>
                <w:sz w:val="20"/>
                <w:szCs w:val="20"/>
                <w:lang w:val="hr-HR"/>
              </w:rPr>
            </w:pPr>
            <w:r>
              <w:rPr>
                <w:color w:val="000000"/>
                <w:sz w:val="20"/>
                <w:szCs w:val="20"/>
                <w:lang w:val="hr-HR"/>
              </w:rPr>
              <w:t>0</w:t>
            </w:r>
            <w:r w:rsidR="005F426F" w:rsidRPr="00FA1939">
              <w:rPr>
                <w:color w:val="000000"/>
                <w:sz w:val="20"/>
                <w:szCs w:val="20"/>
                <w:lang w:val="hr-HR"/>
              </w:rPr>
              <w:t>,00</w:t>
            </w:r>
            <w:r w:rsidR="00EE13D8" w:rsidRPr="00FA1939">
              <w:rPr>
                <w:color w:val="000000"/>
                <w:sz w:val="20"/>
                <w:szCs w:val="20"/>
                <w:lang w:val="hr-HR"/>
              </w:rPr>
              <w:t xml:space="preserve"> €</w:t>
            </w:r>
          </w:p>
        </w:tc>
        <w:tc>
          <w:tcPr>
            <w:tcW w:w="1540" w:type="dxa"/>
            <w:shd w:val="clear" w:color="auto" w:fill="auto"/>
            <w:noWrap/>
            <w:vAlign w:val="center"/>
            <w:hideMark/>
          </w:tcPr>
          <w:p w14:paraId="18A710C6" w14:textId="1686B199" w:rsidR="00EE13D8" w:rsidRPr="00FA1939" w:rsidRDefault="00ED7B1E" w:rsidP="004C15F2">
            <w:pPr>
              <w:jc w:val="right"/>
              <w:rPr>
                <w:color w:val="000000"/>
                <w:sz w:val="20"/>
                <w:szCs w:val="20"/>
                <w:lang w:val="hr-HR"/>
              </w:rPr>
            </w:pPr>
            <w:r>
              <w:rPr>
                <w:color w:val="000000"/>
                <w:sz w:val="20"/>
                <w:szCs w:val="20"/>
                <w:lang w:val="hr-HR"/>
              </w:rPr>
              <w:t>1.169</w:t>
            </w:r>
            <w:r w:rsidR="005F426F" w:rsidRPr="00FA1939">
              <w:rPr>
                <w:color w:val="000000"/>
                <w:sz w:val="20"/>
                <w:szCs w:val="20"/>
                <w:lang w:val="hr-HR"/>
              </w:rPr>
              <w:t>,</w:t>
            </w:r>
            <w:r>
              <w:rPr>
                <w:color w:val="000000"/>
                <w:sz w:val="20"/>
                <w:szCs w:val="20"/>
                <w:lang w:val="hr-HR"/>
              </w:rPr>
              <w:t>1</w:t>
            </w:r>
            <w:r w:rsidR="005F426F" w:rsidRPr="00FA1939">
              <w:rPr>
                <w:color w:val="000000"/>
                <w:sz w:val="20"/>
                <w:szCs w:val="20"/>
                <w:lang w:val="hr-HR"/>
              </w:rPr>
              <w:t>0</w:t>
            </w:r>
            <w:r w:rsidR="00EE13D8" w:rsidRPr="00FA1939">
              <w:rPr>
                <w:color w:val="000000"/>
                <w:sz w:val="20"/>
                <w:szCs w:val="20"/>
                <w:lang w:val="hr-HR"/>
              </w:rPr>
              <w:t xml:space="preserve"> €</w:t>
            </w:r>
          </w:p>
        </w:tc>
        <w:tc>
          <w:tcPr>
            <w:tcW w:w="1100" w:type="dxa"/>
            <w:shd w:val="clear" w:color="000000" w:fill="FFFFFF"/>
            <w:noWrap/>
            <w:vAlign w:val="center"/>
            <w:hideMark/>
          </w:tcPr>
          <w:p w14:paraId="5C3B486E" w14:textId="4857F134" w:rsidR="00EE13D8" w:rsidRPr="00FA1939" w:rsidRDefault="00ED7B1E" w:rsidP="004C15F2">
            <w:pPr>
              <w:jc w:val="center"/>
              <w:rPr>
                <w:rFonts w:ascii="Calibri" w:hAnsi="Calibri" w:cs="Calibri"/>
                <w:color w:val="000000"/>
                <w:sz w:val="20"/>
                <w:szCs w:val="20"/>
                <w:lang w:val="hr-HR"/>
              </w:rPr>
            </w:pPr>
            <w:r>
              <w:rPr>
                <w:rFonts w:ascii="Calibri" w:hAnsi="Calibri" w:cs="Calibri"/>
                <w:color w:val="000000"/>
                <w:sz w:val="20"/>
                <w:szCs w:val="20"/>
                <w:lang w:val="hr-HR"/>
              </w:rPr>
              <w:t>0</w:t>
            </w:r>
            <w:r w:rsidR="00EE13D8" w:rsidRPr="00FA1939">
              <w:rPr>
                <w:rFonts w:ascii="Calibri" w:hAnsi="Calibri" w:cs="Calibri"/>
                <w:color w:val="000000"/>
                <w:sz w:val="20"/>
                <w:szCs w:val="20"/>
                <w:lang w:val="hr-HR"/>
              </w:rPr>
              <w:t> </w:t>
            </w:r>
          </w:p>
        </w:tc>
      </w:tr>
      <w:tr w:rsidR="00EE13D8" w:rsidRPr="00FA1939" w14:paraId="78DFC540" w14:textId="77777777" w:rsidTr="008061B5">
        <w:trPr>
          <w:trHeight w:val="402"/>
        </w:trPr>
        <w:tc>
          <w:tcPr>
            <w:tcW w:w="879" w:type="dxa"/>
            <w:shd w:val="clear" w:color="000000" w:fill="BFBFBF"/>
            <w:noWrap/>
            <w:vAlign w:val="center"/>
            <w:hideMark/>
          </w:tcPr>
          <w:p w14:paraId="38C2B503" w14:textId="77777777" w:rsidR="00EE13D8" w:rsidRPr="00FA1939" w:rsidRDefault="00EE13D8" w:rsidP="004C15F2">
            <w:pPr>
              <w:jc w:val="center"/>
              <w:rPr>
                <w:color w:val="000000"/>
                <w:sz w:val="20"/>
                <w:szCs w:val="20"/>
                <w:lang w:val="hr-HR"/>
              </w:rPr>
            </w:pPr>
            <w:r w:rsidRPr="00FA1939">
              <w:rPr>
                <w:color w:val="000000"/>
                <w:sz w:val="20"/>
                <w:szCs w:val="20"/>
                <w:lang w:val="hr-HR"/>
              </w:rPr>
              <w:t>6</w:t>
            </w:r>
          </w:p>
        </w:tc>
        <w:tc>
          <w:tcPr>
            <w:tcW w:w="4158" w:type="dxa"/>
            <w:shd w:val="clear" w:color="000000" w:fill="BFBFBF"/>
            <w:noWrap/>
            <w:vAlign w:val="center"/>
            <w:hideMark/>
          </w:tcPr>
          <w:p w14:paraId="20A70C5C"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Ukupni prihodi poslovanja</w:t>
            </w:r>
          </w:p>
        </w:tc>
        <w:tc>
          <w:tcPr>
            <w:tcW w:w="1647" w:type="dxa"/>
            <w:shd w:val="clear" w:color="000000" w:fill="BFBFBF"/>
            <w:noWrap/>
            <w:vAlign w:val="center"/>
            <w:hideMark/>
          </w:tcPr>
          <w:p w14:paraId="4391D7D9" w14:textId="288E0792"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1</w:t>
            </w:r>
            <w:r w:rsidR="00EE13D8" w:rsidRPr="00FA1939">
              <w:rPr>
                <w:b/>
                <w:bCs/>
                <w:i/>
                <w:iCs/>
                <w:color w:val="000000"/>
                <w:sz w:val="20"/>
                <w:szCs w:val="20"/>
                <w:lang w:val="hr-HR"/>
              </w:rPr>
              <w:t>.</w:t>
            </w:r>
            <w:r w:rsidR="00EF29D1">
              <w:rPr>
                <w:b/>
                <w:bCs/>
                <w:i/>
                <w:iCs/>
                <w:color w:val="000000"/>
                <w:sz w:val="20"/>
                <w:szCs w:val="20"/>
                <w:lang w:val="hr-HR"/>
              </w:rPr>
              <w:t>927</w:t>
            </w:r>
            <w:r w:rsidR="00EE13D8" w:rsidRPr="00FA1939">
              <w:rPr>
                <w:b/>
                <w:bCs/>
                <w:i/>
                <w:iCs/>
                <w:color w:val="000000"/>
                <w:sz w:val="20"/>
                <w:szCs w:val="20"/>
                <w:lang w:val="hr-HR"/>
              </w:rPr>
              <w:t>.</w:t>
            </w:r>
            <w:r w:rsidR="00EF29D1">
              <w:rPr>
                <w:b/>
                <w:bCs/>
                <w:i/>
                <w:iCs/>
                <w:color w:val="000000"/>
                <w:sz w:val="20"/>
                <w:szCs w:val="20"/>
                <w:lang w:val="hr-HR"/>
              </w:rPr>
              <w:t>9</w:t>
            </w:r>
            <w:r w:rsidRPr="00FA1939">
              <w:rPr>
                <w:b/>
                <w:bCs/>
                <w:i/>
                <w:iCs/>
                <w:color w:val="000000"/>
                <w:sz w:val="20"/>
                <w:szCs w:val="20"/>
                <w:lang w:val="hr-HR"/>
              </w:rPr>
              <w:t>1</w:t>
            </w:r>
            <w:r w:rsidR="00EF29D1">
              <w:rPr>
                <w:b/>
                <w:bCs/>
                <w:i/>
                <w:iCs/>
                <w:color w:val="000000"/>
                <w:sz w:val="20"/>
                <w:szCs w:val="20"/>
                <w:lang w:val="hr-HR"/>
              </w:rPr>
              <w:t>9</w:t>
            </w:r>
            <w:r w:rsidR="00EE13D8" w:rsidRPr="00FA1939">
              <w:rPr>
                <w:b/>
                <w:bCs/>
                <w:i/>
                <w:iCs/>
                <w:color w:val="000000"/>
                <w:sz w:val="20"/>
                <w:szCs w:val="20"/>
                <w:lang w:val="hr-HR"/>
              </w:rPr>
              <w:t>,</w:t>
            </w:r>
            <w:r w:rsidR="00EF29D1">
              <w:rPr>
                <w:b/>
                <w:bCs/>
                <w:i/>
                <w:iCs/>
                <w:color w:val="000000"/>
                <w:sz w:val="20"/>
                <w:szCs w:val="20"/>
                <w:lang w:val="hr-HR"/>
              </w:rPr>
              <w:t>71</w:t>
            </w:r>
            <w:r w:rsidR="00EE13D8" w:rsidRPr="00FA1939">
              <w:rPr>
                <w:b/>
                <w:bCs/>
                <w:i/>
                <w:iCs/>
                <w:color w:val="000000"/>
                <w:sz w:val="20"/>
                <w:szCs w:val="20"/>
                <w:lang w:val="hr-HR"/>
              </w:rPr>
              <w:t xml:space="preserve"> €</w:t>
            </w:r>
          </w:p>
        </w:tc>
        <w:tc>
          <w:tcPr>
            <w:tcW w:w="1540" w:type="dxa"/>
            <w:shd w:val="clear" w:color="000000" w:fill="BFBFBF"/>
            <w:noWrap/>
            <w:vAlign w:val="center"/>
            <w:hideMark/>
          </w:tcPr>
          <w:p w14:paraId="4D128309" w14:textId="4A2AAF87" w:rsidR="00EE13D8" w:rsidRPr="00FA1939" w:rsidRDefault="00EF29D1" w:rsidP="004C15F2">
            <w:pPr>
              <w:jc w:val="right"/>
              <w:rPr>
                <w:b/>
                <w:bCs/>
                <w:i/>
                <w:iCs/>
                <w:color w:val="000000"/>
                <w:sz w:val="20"/>
                <w:szCs w:val="20"/>
                <w:lang w:val="hr-HR"/>
              </w:rPr>
            </w:pPr>
            <w:r>
              <w:rPr>
                <w:b/>
                <w:bCs/>
                <w:i/>
                <w:iCs/>
                <w:color w:val="000000"/>
                <w:sz w:val="20"/>
                <w:szCs w:val="20"/>
                <w:lang w:val="hr-HR"/>
              </w:rPr>
              <w:t>2</w:t>
            </w:r>
            <w:r w:rsidR="00EE13D8" w:rsidRPr="00FA1939">
              <w:rPr>
                <w:b/>
                <w:bCs/>
                <w:i/>
                <w:iCs/>
                <w:color w:val="000000"/>
                <w:sz w:val="20"/>
                <w:szCs w:val="20"/>
                <w:lang w:val="hr-HR"/>
              </w:rPr>
              <w:t>.</w:t>
            </w:r>
            <w:r>
              <w:rPr>
                <w:b/>
                <w:bCs/>
                <w:i/>
                <w:iCs/>
                <w:color w:val="000000"/>
                <w:sz w:val="20"/>
                <w:szCs w:val="20"/>
                <w:lang w:val="hr-HR"/>
              </w:rPr>
              <w:t>439</w:t>
            </w:r>
            <w:r w:rsidR="00EE13D8" w:rsidRPr="00FA1939">
              <w:rPr>
                <w:b/>
                <w:bCs/>
                <w:i/>
                <w:iCs/>
                <w:color w:val="000000"/>
                <w:sz w:val="20"/>
                <w:szCs w:val="20"/>
                <w:lang w:val="hr-HR"/>
              </w:rPr>
              <w:t>.</w:t>
            </w:r>
            <w:r>
              <w:rPr>
                <w:b/>
                <w:bCs/>
                <w:i/>
                <w:iCs/>
                <w:color w:val="000000"/>
                <w:sz w:val="20"/>
                <w:szCs w:val="20"/>
                <w:lang w:val="hr-HR"/>
              </w:rPr>
              <w:t>646</w:t>
            </w:r>
            <w:r w:rsidR="00EE13D8" w:rsidRPr="00FA1939">
              <w:rPr>
                <w:b/>
                <w:bCs/>
                <w:i/>
                <w:iCs/>
                <w:color w:val="000000"/>
                <w:sz w:val="20"/>
                <w:szCs w:val="20"/>
                <w:lang w:val="hr-HR"/>
              </w:rPr>
              <w:t>,</w:t>
            </w:r>
            <w:r>
              <w:rPr>
                <w:b/>
                <w:bCs/>
                <w:i/>
                <w:iCs/>
                <w:color w:val="000000"/>
                <w:sz w:val="20"/>
                <w:szCs w:val="20"/>
                <w:lang w:val="hr-HR"/>
              </w:rPr>
              <w:t>3</w:t>
            </w:r>
            <w:r w:rsidR="005F426F" w:rsidRPr="00FA1939">
              <w:rPr>
                <w:b/>
                <w:bCs/>
                <w:i/>
                <w:iCs/>
                <w:color w:val="000000"/>
                <w:sz w:val="20"/>
                <w:szCs w:val="20"/>
                <w:lang w:val="hr-HR"/>
              </w:rPr>
              <w:t>1</w:t>
            </w:r>
            <w:r w:rsidR="00EE13D8" w:rsidRPr="00FA1939">
              <w:rPr>
                <w:b/>
                <w:bCs/>
                <w:i/>
                <w:iCs/>
                <w:color w:val="000000"/>
                <w:sz w:val="20"/>
                <w:szCs w:val="20"/>
                <w:lang w:val="hr-HR"/>
              </w:rPr>
              <w:t xml:space="preserve"> €</w:t>
            </w:r>
          </w:p>
        </w:tc>
        <w:tc>
          <w:tcPr>
            <w:tcW w:w="1100" w:type="dxa"/>
            <w:shd w:val="clear" w:color="000000" w:fill="BFBFBF"/>
            <w:noWrap/>
            <w:vAlign w:val="center"/>
            <w:hideMark/>
          </w:tcPr>
          <w:p w14:paraId="5A39DCFD" w14:textId="768C4FD3"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1</w:t>
            </w:r>
            <w:r w:rsidR="00EF29D1">
              <w:rPr>
                <w:rFonts w:ascii="Calibri" w:hAnsi="Calibri" w:cs="Calibri"/>
                <w:color w:val="000000"/>
                <w:sz w:val="20"/>
                <w:szCs w:val="20"/>
                <w:lang w:val="hr-HR"/>
              </w:rPr>
              <w:t>27</w:t>
            </w:r>
          </w:p>
        </w:tc>
      </w:tr>
    </w:tbl>
    <w:p w14:paraId="3B9F254E" w14:textId="77777777" w:rsidR="00EE13D8" w:rsidRPr="00FA1939" w:rsidRDefault="00EE13D8" w:rsidP="00EE13D8">
      <w:pPr>
        <w:jc w:val="both"/>
        <w:rPr>
          <w:b/>
          <w:sz w:val="22"/>
          <w:szCs w:val="22"/>
          <w:lang w:val="hr-HR"/>
        </w:rPr>
      </w:pPr>
      <w:r w:rsidRPr="00FA1939">
        <w:rPr>
          <w:sz w:val="22"/>
          <w:szCs w:val="22"/>
          <w:lang w:val="hr-HR"/>
        </w:rPr>
        <w:t xml:space="preserve">  </w:t>
      </w:r>
    </w:p>
    <w:p w14:paraId="7995D955" w14:textId="2B10C9E5" w:rsidR="007930F3" w:rsidRDefault="00B62217" w:rsidP="001F04DB">
      <w:pPr>
        <w:jc w:val="both"/>
        <w:rPr>
          <w:sz w:val="22"/>
          <w:szCs w:val="22"/>
          <w:lang w:val="hr-HR"/>
        </w:rPr>
      </w:pPr>
      <w:bookmarkStart w:id="1" w:name="OLE_LINK24"/>
      <w:bookmarkStart w:id="2" w:name="OLE_LINK25"/>
      <w:r w:rsidRPr="00240063">
        <w:rPr>
          <w:sz w:val="22"/>
          <w:szCs w:val="22"/>
          <w:lang w:val="hr-HR"/>
        </w:rPr>
        <w:lastRenderedPageBreak/>
        <w:t>Ukupni prihodi poslo</w:t>
      </w:r>
      <w:r>
        <w:rPr>
          <w:sz w:val="22"/>
          <w:szCs w:val="22"/>
          <w:lang w:val="hr-HR"/>
        </w:rPr>
        <w:t xml:space="preserve">vanja </w:t>
      </w:r>
      <w:r w:rsidR="002865EC">
        <w:rPr>
          <w:sz w:val="22"/>
          <w:szCs w:val="22"/>
          <w:lang w:val="hr-HR"/>
        </w:rPr>
        <w:t xml:space="preserve">u izvještajnom razdoblju </w:t>
      </w:r>
      <w:r>
        <w:rPr>
          <w:sz w:val="22"/>
          <w:szCs w:val="22"/>
          <w:lang w:val="hr-HR"/>
        </w:rPr>
        <w:t xml:space="preserve">ostvareni su u iznosu od </w:t>
      </w:r>
      <w:r w:rsidR="00EF29D1">
        <w:rPr>
          <w:sz w:val="22"/>
          <w:szCs w:val="22"/>
          <w:lang w:val="hr-HR"/>
        </w:rPr>
        <w:t>2</w:t>
      </w:r>
      <w:r>
        <w:rPr>
          <w:sz w:val="22"/>
          <w:szCs w:val="22"/>
          <w:lang w:val="hr-HR"/>
        </w:rPr>
        <w:t>.</w:t>
      </w:r>
      <w:r w:rsidR="00EF29D1">
        <w:rPr>
          <w:sz w:val="22"/>
          <w:szCs w:val="22"/>
          <w:lang w:val="hr-HR"/>
        </w:rPr>
        <w:t>439</w:t>
      </w:r>
      <w:r w:rsidR="002865EC">
        <w:rPr>
          <w:sz w:val="22"/>
          <w:szCs w:val="22"/>
          <w:lang w:val="hr-HR"/>
        </w:rPr>
        <w:t>.</w:t>
      </w:r>
      <w:r w:rsidR="00EF29D1">
        <w:rPr>
          <w:sz w:val="22"/>
          <w:szCs w:val="22"/>
          <w:lang w:val="hr-HR"/>
        </w:rPr>
        <w:t>646</w:t>
      </w:r>
      <w:r w:rsidR="002865EC">
        <w:rPr>
          <w:sz w:val="22"/>
          <w:szCs w:val="22"/>
          <w:lang w:val="hr-HR"/>
        </w:rPr>
        <w:t>,</w:t>
      </w:r>
      <w:r w:rsidR="00EF29D1">
        <w:rPr>
          <w:sz w:val="22"/>
          <w:szCs w:val="22"/>
          <w:lang w:val="hr-HR"/>
        </w:rPr>
        <w:t>3</w:t>
      </w:r>
      <w:r w:rsidR="00B12F25">
        <w:rPr>
          <w:sz w:val="22"/>
          <w:szCs w:val="22"/>
          <w:lang w:val="hr-HR"/>
        </w:rPr>
        <w:t>1</w:t>
      </w:r>
      <w:r>
        <w:rPr>
          <w:sz w:val="22"/>
          <w:szCs w:val="22"/>
          <w:lang w:val="hr-HR"/>
        </w:rPr>
        <w:t xml:space="preserve"> </w:t>
      </w:r>
      <w:r w:rsidR="00B81D35">
        <w:rPr>
          <w:sz w:val="22"/>
          <w:szCs w:val="22"/>
          <w:lang w:val="hr-HR"/>
        </w:rPr>
        <w:t>€</w:t>
      </w:r>
      <w:r>
        <w:rPr>
          <w:sz w:val="22"/>
          <w:szCs w:val="22"/>
          <w:lang w:val="hr-HR"/>
        </w:rPr>
        <w:t>, što predstavlja</w:t>
      </w:r>
      <w:r w:rsidR="00B81D35">
        <w:rPr>
          <w:sz w:val="22"/>
          <w:szCs w:val="22"/>
          <w:lang w:val="hr-HR"/>
        </w:rPr>
        <w:t xml:space="preserve"> ostvarenje od</w:t>
      </w:r>
      <w:r>
        <w:rPr>
          <w:sz w:val="22"/>
          <w:szCs w:val="22"/>
          <w:lang w:val="hr-HR"/>
        </w:rPr>
        <w:t xml:space="preserve"> </w:t>
      </w:r>
      <w:r w:rsidR="00B81D35">
        <w:rPr>
          <w:sz w:val="22"/>
          <w:szCs w:val="22"/>
          <w:lang w:val="hr-HR"/>
        </w:rPr>
        <w:t>4</w:t>
      </w:r>
      <w:r w:rsidR="00EF29D1">
        <w:rPr>
          <w:sz w:val="22"/>
          <w:szCs w:val="22"/>
          <w:lang w:val="hr-HR"/>
        </w:rPr>
        <w:t>8</w:t>
      </w:r>
      <w:r w:rsidR="002865EC">
        <w:rPr>
          <w:sz w:val="22"/>
          <w:szCs w:val="22"/>
          <w:lang w:val="hr-HR"/>
        </w:rPr>
        <w:t>%</w:t>
      </w:r>
      <w:r w:rsidRPr="00240063">
        <w:rPr>
          <w:sz w:val="22"/>
          <w:szCs w:val="22"/>
          <w:lang w:val="hr-HR"/>
        </w:rPr>
        <w:t xml:space="preserve"> u odnosu na </w:t>
      </w:r>
      <w:r w:rsidR="002865EC">
        <w:rPr>
          <w:sz w:val="22"/>
          <w:szCs w:val="22"/>
          <w:lang w:val="hr-HR"/>
        </w:rPr>
        <w:t xml:space="preserve">planirani iznos od </w:t>
      </w:r>
      <w:r w:rsidR="00EF29D1">
        <w:rPr>
          <w:sz w:val="22"/>
          <w:szCs w:val="22"/>
          <w:lang w:val="hr-HR"/>
        </w:rPr>
        <w:t>5</w:t>
      </w:r>
      <w:r w:rsidR="002865EC">
        <w:rPr>
          <w:sz w:val="22"/>
          <w:szCs w:val="22"/>
          <w:lang w:val="hr-HR"/>
        </w:rPr>
        <w:t>.</w:t>
      </w:r>
      <w:r w:rsidR="00EF29D1">
        <w:rPr>
          <w:sz w:val="22"/>
          <w:szCs w:val="22"/>
          <w:lang w:val="hr-HR"/>
        </w:rPr>
        <w:t>078</w:t>
      </w:r>
      <w:r w:rsidR="002865EC">
        <w:rPr>
          <w:sz w:val="22"/>
          <w:szCs w:val="22"/>
          <w:lang w:val="hr-HR"/>
        </w:rPr>
        <w:t>.</w:t>
      </w:r>
      <w:r w:rsidR="00EF29D1">
        <w:rPr>
          <w:sz w:val="22"/>
          <w:szCs w:val="22"/>
          <w:lang w:val="hr-HR"/>
        </w:rPr>
        <w:t>00</w:t>
      </w:r>
      <w:r w:rsidR="00B12F25">
        <w:rPr>
          <w:sz w:val="22"/>
          <w:szCs w:val="22"/>
          <w:lang w:val="hr-HR"/>
        </w:rPr>
        <w:t>0</w:t>
      </w:r>
      <w:r w:rsidR="002865EC">
        <w:rPr>
          <w:sz w:val="22"/>
          <w:szCs w:val="22"/>
          <w:lang w:val="hr-HR"/>
        </w:rPr>
        <w:t>,</w:t>
      </w:r>
      <w:r w:rsidR="00B12F25">
        <w:rPr>
          <w:sz w:val="22"/>
          <w:szCs w:val="22"/>
          <w:lang w:val="hr-HR"/>
        </w:rPr>
        <w:t>00</w:t>
      </w:r>
      <w:r w:rsidR="002865EC">
        <w:rPr>
          <w:sz w:val="22"/>
          <w:szCs w:val="22"/>
          <w:lang w:val="hr-HR"/>
        </w:rPr>
        <w:t xml:space="preserve"> </w:t>
      </w:r>
      <w:r w:rsidR="00BB43A7">
        <w:rPr>
          <w:sz w:val="22"/>
          <w:szCs w:val="22"/>
          <w:lang w:val="hr-HR"/>
        </w:rPr>
        <w:t>€</w:t>
      </w:r>
      <w:r w:rsidR="002865EC">
        <w:rPr>
          <w:sz w:val="22"/>
          <w:szCs w:val="22"/>
          <w:lang w:val="hr-HR"/>
        </w:rPr>
        <w:t xml:space="preserve"> odnosno povećanje od </w:t>
      </w:r>
      <w:r w:rsidR="00EF29D1">
        <w:rPr>
          <w:sz w:val="22"/>
          <w:szCs w:val="22"/>
          <w:lang w:val="hr-HR"/>
        </w:rPr>
        <w:t>27</w:t>
      </w:r>
      <w:r w:rsidR="002865EC">
        <w:rPr>
          <w:sz w:val="22"/>
          <w:szCs w:val="22"/>
          <w:lang w:val="hr-HR"/>
        </w:rPr>
        <w:t>% u odnosu na 202</w:t>
      </w:r>
      <w:r w:rsidR="00EF29D1">
        <w:rPr>
          <w:sz w:val="22"/>
          <w:szCs w:val="22"/>
          <w:lang w:val="hr-HR"/>
        </w:rPr>
        <w:t>4</w:t>
      </w:r>
      <w:r w:rsidR="002865EC">
        <w:rPr>
          <w:sz w:val="22"/>
          <w:szCs w:val="22"/>
          <w:lang w:val="hr-HR"/>
        </w:rPr>
        <w:t xml:space="preserve">. godinu kada su ukupni prihodi iznosili </w:t>
      </w:r>
      <w:r w:rsidR="00BB43A7">
        <w:rPr>
          <w:sz w:val="22"/>
          <w:szCs w:val="22"/>
          <w:lang w:val="hr-HR"/>
        </w:rPr>
        <w:t>1</w:t>
      </w:r>
      <w:r w:rsidR="002865EC">
        <w:rPr>
          <w:sz w:val="22"/>
          <w:szCs w:val="22"/>
          <w:lang w:val="hr-HR"/>
        </w:rPr>
        <w:t>.</w:t>
      </w:r>
      <w:r w:rsidR="00EF29D1">
        <w:rPr>
          <w:sz w:val="22"/>
          <w:szCs w:val="22"/>
          <w:lang w:val="hr-HR"/>
        </w:rPr>
        <w:t>927</w:t>
      </w:r>
      <w:r w:rsidR="002865EC">
        <w:rPr>
          <w:sz w:val="22"/>
          <w:szCs w:val="22"/>
          <w:lang w:val="hr-HR"/>
        </w:rPr>
        <w:t>.</w:t>
      </w:r>
      <w:r w:rsidR="00EF29D1">
        <w:rPr>
          <w:sz w:val="22"/>
          <w:szCs w:val="22"/>
          <w:lang w:val="hr-HR"/>
        </w:rPr>
        <w:t>919</w:t>
      </w:r>
      <w:r w:rsidR="002865EC">
        <w:rPr>
          <w:sz w:val="22"/>
          <w:szCs w:val="22"/>
          <w:lang w:val="hr-HR"/>
        </w:rPr>
        <w:t>,</w:t>
      </w:r>
      <w:r w:rsidR="00EF29D1">
        <w:rPr>
          <w:sz w:val="22"/>
          <w:szCs w:val="22"/>
          <w:lang w:val="hr-HR"/>
        </w:rPr>
        <w:t>71</w:t>
      </w:r>
      <w:r w:rsidR="002865EC">
        <w:rPr>
          <w:sz w:val="22"/>
          <w:szCs w:val="22"/>
          <w:lang w:val="hr-HR"/>
        </w:rPr>
        <w:t xml:space="preserve"> </w:t>
      </w:r>
      <w:r w:rsidR="00BB43A7">
        <w:rPr>
          <w:sz w:val="22"/>
          <w:szCs w:val="22"/>
          <w:lang w:val="hr-HR"/>
        </w:rPr>
        <w:t>€</w:t>
      </w:r>
      <w:r w:rsidR="002865EC">
        <w:rPr>
          <w:sz w:val="22"/>
          <w:szCs w:val="22"/>
          <w:lang w:val="hr-HR"/>
        </w:rPr>
        <w:t>.</w:t>
      </w:r>
      <w:r w:rsidR="0073120F">
        <w:rPr>
          <w:sz w:val="22"/>
          <w:szCs w:val="22"/>
          <w:lang w:val="hr-HR"/>
        </w:rPr>
        <w:t xml:space="preserve"> </w:t>
      </w:r>
    </w:p>
    <w:p w14:paraId="17D93D8C" w14:textId="77777777" w:rsidR="006B59AE" w:rsidRDefault="006B59AE" w:rsidP="007930F3">
      <w:pPr>
        <w:jc w:val="both"/>
        <w:rPr>
          <w:sz w:val="22"/>
          <w:szCs w:val="22"/>
          <w:lang w:val="hr-HR"/>
        </w:rPr>
      </w:pPr>
    </w:p>
    <w:p w14:paraId="3A7C8E34" w14:textId="77777777" w:rsidR="006B59AE" w:rsidRPr="00392105" w:rsidRDefault="006B59AE" w:rsidP="006B59AE">
      <w:pPr>
        <w:jc w:val="both"/>
        <w:rPr>
          <w:sz w:val="22"/>
          <w:szCs w:val="22"/>
          <w:lang w:val="hr-HR"/>
        </w:rPr>
      </w:pPr>
      <w:r w:rsidRPr="005259AD">
        <w:rPr>
          <w:sz w:val="22"/>
          <w:szCs w:val="22"/>
          <w:lang w:val="hr-HR"/>
        </w:rPr>
        <w:t>Razlog povećanja ukupnih prihoda</w:t>
      </w:r>
      <w:r>
        <w:rPr>
          <w:sz w:val="22"/>
          <w:szCs w:val="22"/>
          <w:lang w:val="hr-HR"/>
        </w:rPr>
        <w:t xml:space="preserve"> i rashoda</w:t>
      </w:r>
      <w:r w:rsidRPr="005259AD">
        <w:rPr>
          <w:sz w:val="22"/>
          <w:szCs w:val="22"/>
          <w:lang w:val="hr-HR"/>
        </w:rPr>
        <w:t xml:space="preserve"> u </w:t>
      </w:r>
      <w:r>
        <w:rPr>
          <w:sz w:val="22"/>
          <w:szCs w:val="22"/>
          <w:lang w:val="hr-HR"/>
        </w:rPr>
        <w:t xml:space="preserve">izvještajnom razdoblju za </w:t>
      </w:r>
      <w:r w:rsidRPr="005259AD">
        <w:rPr>
          <w:sz w:val="22"/>
          <w:szCs w:val="22"/>
          <w:lang w:val="hr-HR"/>
        </w:rPr>
        <w:t>202</w:t>
      </w:r>
      <w:r>
        <w:rPr>
          <w:sz w:val="22"/>
          <w:szCs w:val="22"/>
          <w:lang w:val="hr-HR"/>
        </w:rPr>
        <w:t>5</w:t>
      </w:r>
      <w:r w:rsidRPr="005259AD">
        <w:rPr>
          <w:sz w:val="22"/>
          <w:szCs w:val="22"/>
          <w:lang w:val="hr-HR"/>
        </w:rPr>
        <w:t>. godin</w:t>
      </w:r>
      <w:r>
        <w:rPr>
          <w:sz w:val="22"/>
          <w:szCs w:val="22"/>
          <w:lang w:val="hr-HR"/>
        </w:rPr>
        <w:t>u</w:t>
      </w:r>
      <w:r w:rsidRPr="005259AD">
        <w:rPr>
          <w:sz w:val="22"/>
          <w:szCs w:val="22"/>
          <w:lang w:val="hr-HR"/>
        </w:rPr>
        <w:t xml:space="preserve"> u odnosu na 202</w:t>
      </w:r>
      <w:r>
        <w:rPr>
          <w:sz w:val="22"/>
          <w:szCs w:val="22"/>
          <w:lang w:val="hr-HR"/>
        </w:rPr>
        <w:t>4</w:t>
      </w:r>
      <w:r w:rsidRPr="005259AD">
        <w:rPr>
          <w:sz w:val="22"/>
          <w:szCs w:val="22"/>
          <w:lang w:val="hr-HR"/>
        </w:rPr>
        <w:t>. godinu  je</w:t>
      </w:r>
      <w:r>
        <w:rPr>
          <w:sz w:val="22"/>
          <w:szCs w:val="22"/>
          <w:lang w:val="hr-HR"/>
        </w:rPr>
        <w:t xml:space="preserve"> usklađenje koeficijenata za obračun plaće za</w:t>
      </w:r>
      <w:r w:rsidRPr="00D012E7">
        <w:rPr>
          <w:sz w:val="22"/>
          <w:szCs w:val="22"/>
          <w:lang w:val="hr-HR"/>
        </w:rPr>
        <w:t>poslenika</w:t>
      </w:r>
      <w:r>
        <w:rPr>
          <w:sz w:val="22"/>
          <w:szCs w:val="22"/>
          <w:lang w:val="hr-HR"/>
        </w:rPr>
        <w:t xml:space="preserve"> s novom Uredbom </w:t>
      </w:r>
      <w:r w:rsidRPr="002E54F9">
        <w:rPr>
          <w:sz w:val="22"/>
          <w:szCs w:val="22"/>
          <w:lang w:val="hr-HR"/>
        </w:rPr>
        <w:t xml:space="preserve"> o nazivima radnih mjesta, uvjetima za raspored i koeficijentima </w:t>
      </w:r>
      <w:r>
        <w:rPr>
          <w:sz w:val="22"/>
          <w:szCs w:val="22"/>
          <w:lang w:val="hr-HR"/>
        </w:rPr>
        <w:t xml:space="preserve">za obračun </w:t>
      </w:r>
      <w:r w:rsidRPr="002E54F9">
        <w:rPr>
          <w:sz w:val="22"/>
          <w:szCs w:val="22"/>
          <w:lang w:val="hr-HR"/>
        </w:rPr>
        <w:t xml:space="preserve">plaće u javnim službama (NN 22/24) </w:t>
      </w:r>
      <w:r>
        <w:rPr>
          <w:sz w:val="22"/>
          <w:szCs w:val="22"/>
          <w:lang w:val="hr-HR"/>
        </w:rPr>
        <w:t>koja je</w:t>
      </w:r>
      <w:r w:rsidRPr="002E54F9">
        <w:rPr>
          <w:sz w:val="22"/>
          <w:szCs w:val="22"/>
          <w:lang w:val="hr-HR"/>
        </w:rPr>
        <w:t xml:space="preserve"> </w:t>
      </w:r>
      <w:r>
        <w:rPr>
          <w:sz w:val="22"/>
          <w:szCs w:val="22"/>
          <w:lang w:val="hr-HR"/>
        </w:rPr>
        <w:t xml:space="preserve">u </w:t>
      </w:r>
      <w:r w:rsidRPr="002E54F9">
        <w:rPr>
          <w:sz w:val="22"/>
          <w:szCs w:val="22"/>
          <w:lang w:val="hr-HR"/>
        </w:rPr>
        <w:t>primjeni  od rujna 2024. godine</w:t>
      </w:r>
      <w:r>
        <w:rPr>
          <w:sz w:val="22"/>
          <w:szCs w:val="22"/>
          <w:lang w:val="hr-HR"/>
        </w:rPr>
        <w:t>, p</w:t>
      </w:r>
      <w:r w:rsidRPr="00D012E7">
        <w:rPr>
          <w:sz w:val="22"/>
          <w:szCs w:val="22"/>
          <w:lang w:val="hr-HR"/>
        </w:rPr>
        <w:t>ovećanje osnovice za obračun plaća zaposlenika</w:t>
      </w:r>
      <w:r>
        <w:rPr>
          <w:sz w:val="22"/>
          <w:szCs w:val="22"/>
          <w:lang w:val="hr-HR"/>
        </w:rPr>
        <w:t xml:space="preserve"> i to osnovica 947,18 €  povećava se za 3% te sada iznosi 975,60 € počevši od veljače 2025. godine prema Odluci Vlade Republike Hrvatske (NN 155/24)</w:t>
      </w:r>
      <w:r w:rsidRPr="00D012E7">
        <w:rPr>
          <w:sz w:val="22"/>
          <w:szCs w:val="22"/>
          <w:lang w:val="hr-HR"/>
        </w:rPr>
        <w:t xml:space="preserve">, povećanje nabavnih cijena namirnica, </w:t>
      </w:r>
      <w:r>
        <w:rPr>
          <w:sz w:val="22"/>
          <w:szCs w:val="22"/>
          <w:lang w:val="hr-HR"/>
        </w:rPr>
        <w:t>laboratorijskih usluga, povećan obim rada studenata učlanjenih u studentskim servisima te novčane naknade p</w:t>
      </w:r>
      <w:r w:rsidRPr="00392105">
        <w:rPr>
          <w:sz w:val="22"/>
          <w:szCs w:val="22"/>
          <w:lang w:val="hr-HR"/>
        </w:rPr>
        <w:t>oslodavca zbog nezapošljavanja osoba s invaliditetom</w:t>
      </w:r>
      <w:r>
        <w:rPr>
          <w:sz w:val="22"/>
          <w:szCs w:val="22"/>
          <w:lang w:val="hr-HR"/>
        </w:rPr>
        <w:t>.</w:t>
      </w:r>
    </w:p>
    <w:p w14:paraId="17C34D63" w14:textId="77777777" w:rsidR="006B59AE" w:rsidRDefault="006B59AE" w:rsidP="007930F3">
      <w:pPr>
        <w:jc w:val="both"/>
        <w:rPr>
          <w:sz w:val="22"/>
          <w:szCs w:val="22"/>
          <w:lang w:val="hr-HR"/>
        </w:rPr>
      </w:pPr>
    </w:p>
    <w:p w14:paraId="65B45FCA" w14:textId="77777777" w:rsidR="00843759" w:rsidRPr="005259AD" w:rsidRDefault="00843759" w:rsidP="00843759">
      <w:pPr>
        <w:pStyle w:val="Odlomakpopisa"/>
        <w:ind w:left="0"/>
        <w:contextualSpacing/>
        <w:jc w:val="both"/>
        <w:rPr>
          <w:b/>
          <w:sz w:val="22"/>
          <w:szCs w:val="22"/>
          <w:lang w:val="hr-HR"/>
        </w:rPr>
      </w:pPr>
      <w:r w:rsidRPr="005259AD">
        <w:rPr>
          <w:b/>
          <w:sz w:val="22"/>
          <w:szCs w:val="22"/>
          <w:lang w:val="hr-HR"/>
        </w:rPr>
        <w:t>Pomoći proračunskim korisnicima iz proračuna koji im nije nadležan</w:t>
      </w:r>
    </w:p>
    <w:p w14:paraId="53CBAE49" w14:textId="2FABD173" w:rsidR="00843759" w:rsidRDefault="00843759" w:rsidP="00843759">
      <w:pPr>
        <w:jc w:val="both"/>
        <w:rPr>
          <w:sz w:val="22"/>
          <w:szCs w:val="22"/>
          <w:lang w:val="hr-HR"/>
        </w:rPr>
      </w:pPr>
      <w:r w:rsidRPr="005259AD">
        <w:rPr>
          <w:sz w:val="22"/>
          <w:szCs w:val="22"/>
          <w:lang w:val="hr-HR"/>
        </w:rPr>
        <w:t>U izvještajnom razdoblju 202</w:t>
      </w:r>
      <w:r w:rsidR="002C6E4A">
        <w:rPr>
          <w:sz w:val="22"/>
          <w:szCs w:val="22"/>
          <w:lang w:val="hr-HR"/>
        </w:rPr>
        <w:t>5</w:t>
      </w:r>
      <w:r w:rsidRPr="005259AD">
        <w:rPr>
          <w:sz w:val="22"/>
          <w:szCs w:val="22"/>
          <w:lang w:val="hr-HR"/>
        </w:rPr>
        <w:t xml:space="preserve">. godine pomoći od nenadležnih proračuna iznose </w:t>
      </w:r>
      <w:r w:rsidR="002C6E4A">
        <w:rPr>
          <w:sz w:val="22"/>
          <w:szCs w:val="22"/>
          <w:lang w:val="hr-HR"/>
        </w:rPr>
        <w:t>1.270.253,28</w:t>
      </w:r>
      <w:r w:rsidRPr="005259AD">
        <w:rPr>
          <w:sz w:val="22"/>
          <w:szCs w:val="22"/>
          <w:lang w:val="hr-HR"/>
        </w:rPr>
        <w:t xml:space="preserve"> </w:t>
      </w:r>
      <w:r w:rsidR="00330D37">
        <w:rPr>
          <w:sz w:val="22"/>
          <w:szCs w:val="22"/>
          <w:lang w:val="hr-HR"/>
        </w:rPr>
        <w:t>€</w:t>
      </w:r>
      <w:r w:rsidRPr="005259AD">
        <w:rPr>
          <w:sz w:val="22"/>
          <w:szCs w:val="22"/>
          <w:lang w:val="hr-HR"/>
        </w:rPr>
        <w:t xml:space="preserve">  dok su u 202</w:t>
      </w:r>
      <w:r w:rsidR="002C6E4A">
        <w:rPr>
          <w:sz w:val="22"/>
          <w:szCs w:val="22"/>
          <w:lang w:val="hr-HR"/>
        </w:rPr>
        <w:t>4</w:t>
      </w:r>
      <w:r w:rsidRPr="005259AD">
        <w:rPr>
          <w:sz w:val="22"/>
          <w:szCs w:val="22"/>
          <w:lang w:val="hr-HR"/>
        </w:rPr>
        <w:t>. godini iznosil</w:t>
      </w:r>
      <w:r w:rsidR="00840C1C">
        <w:rPr>
          <w:sz w:val="22"/>
          <w:szCs w:val="22"/>
          <w:lang w:val="hr-HR"/>
        </w:rPr>
        <w:t>e</w:t>
      </w:r>
      <w:r w:rsidRPr="005259AD">
        <w:rPr>
          <w:sz w:val="22"/>
          <w:szCs w:val="22"/>
          <w:lang w:val="hr-HR"/>
        </w:rPr>
        <w:t xml:space="preserve"> </w:t>
      </w:r>
      <w:r w:rsidR="00330D37">
        <w:rPr>
          <w:sz w:val="22"/>
          <w:szCs w:val="22"/>
          <w:lang w:val="hr-HR"/>
        </w:rPr>
        <w:t xml:space="preserve"> </w:t>
      </w:r>
      <w:r w:rsidR="002C6E4A">
        <w:rPr>
          <w:sz w:val="22"/>
          <w:szCs w:val="22"/>
          <w:lang w:val="hr-HR"/>
        </w:rPr>
        <w:t>960.154</w:t>
      </w:r>
      <w:r w:rsidR="002C6E4A" w:rsidRPr="005259AD">
        <w:rPr>
          <w:sz w:val="22"/>
          <w:szCs w:val="22"/>
          <w:lang w:val="hr-HR"/>
        </w:rPr>
        <w:t>,</w:t>
      </w:r>
      <w:r w:rsidR="002C6E4A">
        <w:rPr>
          <w:sz w:val="22"/>
          <w:szCs w:val="22"/>
          <w:lang w:val="hr-HR"/>
        </w:rPr>
        <w:t>55</w:t>
      </w:r>
      <w:r w:rsidR="002C6E4A" w:rsidRPr="005259AD">
        <w:rPr>
          <w:sz w:val="22"/>
          <w:szCs w:val="22"/>
          <w:lang w:val="hr-HR"/>
        </w:rPr>
        <w:t xml:space="preserve"> </w:t>
      </w:r>
      <w:r w:rsidR="00330D37">
        <w:rPr>
          <w:sz w:val="22"/>
          <w:szCs w:val="22"/>
          <w:lang w:val="hr-HR"/>
        </w:rPr>
        <w:t>€</w:t>
      </w:r>
      <w:r w:rsidRPr="005259AD">
        <w:rPr>
          <w:sz w:val="22"/>
          <w:szCs w:val="22"/>
          <w:lang w:val="hr-HR"/>
        </w:rPr>
        <w:t>, povećana su</w:t>
      </w:r>
      <w:r w:rsidR="00330D37">
        <w:rPr>
          <w:sz w:val="22"/>
          <w:szCs w:val="22"/>
          <w:lang w:val="hr-HR"/>
        </w:rPr>
        <w:t xml:space="preserve"> za </w:t>
      </w:r>
      <w:r w:rsidR="002C6E4A">
        <w:rPr>
          <w:sz w:val="22"/>
          <w:szCs w:val="22"/>
          <w:lang w:val="hr-HR"/>
        </w:rPr>
        <w:t>32</w:t>
      </w:r>
      <w:r w:rsidRPr="005259AD">
        <w:rPr>
          <w:sz w:val="22"/>
          <w:szCs w:val="22"/>
          <w:lang w:val="hr-HR"/>
        </w:rPr>
        <w:t>% iz raz</w:t>
      </w:r>
      <w:r w:rsidR="00840C1C">
        <w:rPr>
          <w:sz w:val="22"/>
          <w:szCs w:val="22"/>
          <w:lang w:val="hr-HR"/>
        </w:rPr>
        <w:t>loga</w:t>
      </w:r>
      <w:r w:rsidR="00840C1C" w:rsidRPr="005259AD">
        <w:rPr>
          <w:sz w:val="22"/>
          <w:szCs w:val="22"/>
          <w:lang w:val="hr-HR"/>
        </w:rPr>
        <w:t xml:space="preserve"> što su </w:t>
      </w:r>
      <w:r w:rsidR="00840C1C">
        <w:rPr>
          <w:sz w:val="22"/>
          <w:szCs w:val="22"/>
          <w:lang w:val="hr-HR"/>
        </w:rPr>
        <w:t xml:space="preserve">povećani rashodi za zaposlene kao i materijalni rashodi. </w:t>
      </w:r>
      <w:r w:rsidR="00124A9D">
        <w:rPr>
          <w:sz w:val="22"/>
          <w:szCs w:val="22"/>
          <w:lang w:val="hr-HR"/>
        </w:rPr>
        <w:t xml:space="preserve"> U odnosu na plan koji iznosi </w:t>
      </w:r>
      <w:r w:rsidR="00840C1C">
        <w:rPr>
          <w:sz w:val="22"/>
          <w:szCs w:val="22"/>
          <w:lang w:val="hr-HR"/>
        </w:rPr>
        <w:t>2</w:t>
      </w:r>
      <w:r w:rsidR="00124A9D">
        <w:rPr>
          <w:sz w:val="22"/>
          <w:szCs w:val="22"/>
          <w:lang w:val="hr-HR"/>
        </w:rPr>
        <w:t>.</w:t>
      </w:r>
      <w:r w:rsidR="002C6E4A">
        <w:rPr>
          <w:sz w:val="22"/>
          <w:szCs w:val="22"/>
          <w:lang w:val="hr-HR"/>
        </w:rPr>
        <w:t>676</w:t>
      </w:r>
      <w:r w:rsidR="00124A9D">
        <w:rPr>
          <w:sz w:val="22"/>
          <w:szCs w:val="22"/>
          <w:lang w:val="hr-HR"/>
        </w:rPr>
        <w:t>.</w:t>
      </w:r>
      <w:r w:rsidR="002C6E4A">
        <w:rPr>
          <w:sz w:val="22"/>
          <w:szCs w:val="22"/>
          <w:lang w:val="hr-HR"/>
        </w:rPr>
        <w:t>48</w:t>
      </w:r>
      <w:r w:rsidR="00124A9D">
        <w:rPr>
          <w:sz w:val="22"/>
          <w:szCs w:val="22"/>
          <w:lang w:val="hr-HR"/>
        </w:rPr>
        <w:t>0,00 €</w:t>
      </w:r>
      <w:r w:rsidR="00124A9D" w:rsidRPr="00124A9D">
        <w:rPr>
          <w:sz w:val="22"/>
          <w:szCs w:val="22"/>
          <w:lang w:val="hr-HR"/>
        </w:rPr>
        <w:t xml:space="preserve"> </w:t>
      </w:r>
      <w:r w:rsidR="00124A9D">
        <w:rPr>
          <w:sz w:val="22"/>
          <w:szCs w:val="22"/>
          <w:lang w:val="hr-HR"/>
        </w:rPr>
        <w:t>ostvarenje</w:t>
      </w:r>
      <w:r w:rsidR="00840C1C">
        <w:rPr>
          <w:sz w:val="22"/>
          <w:szCs w:val="22"/>
          <w:lang w:val="hr-HR"/>
        </w:rPr>
        <w:t xml:space="preserve"> iznosi</w:t>
      </w:r>
      <w:r w:rsidR="00124A9D">
        <w:rPr>
          <w:sz w:val="22"/>
          <w:szCs w:val="22"/>
          <w:lang w:val="hr-HR"/>
        </w:rPr>
        <w:t xml:space="preserve"> 4</w:t>
      </w:r>
      <w:r w:rsidR="002C6E4A">
        <w:rPr>
          <w:sz w:val="22"/>
          <w:szCs w:val="22"/>
          <w:lang w:val="hr-HR"/>
        </w:rPr>
        <w:t>7</w:t>
      </w:r>
      <w:r w:rsidR="00124A9D">
        <w:rPr>
          <w:sz w:val="22"/>
          <w:szCs w:val="22"/>
          <w:lang w:val="hr-HR"/>
        </w:rPr>
        <w:t xml:space="preserve">%. </w:t>
      </w:r>
      <w:r>
        <w:rPr>
          <w:sz w:val="22"/>
          <w:szCs w:val="22"/>
          <w:lang w:val="hr-HR"/>
        </w:rPr>
        <w:t xml:space="preserve"> </w:t>
      </w:r>
      <w:r w:rsidR="00330D37">
        <w:rPr>
          <w:sz w:val="22"/>
          <w:szCs w:val="22"/>
          <w:lang w:val="hr-HR"/>
        </w:rPr>
        <w:t>M</w:t>
      </w:r>
      <w:r w:rsidRPr="005259AD">
        <w:rPr>
          <w:sz w:val="22"/>
          <w:szCs w:val="22"/>
          <w:lang w:val="hr-HR"/>
        </w:rPr>
        <w:t>jesečne uplate tekućih pomoći proračunski</w:t>
      </w:r>
      <w:r w:rsidR="00330D37">
        <w:rPr>
          <w:sz w:val="22"/>
          <w:szCs w:val="22"/>
          <w:lang w:val="hr-HR"/>
        </w:rPr>
        <w:t>m</w:t>
      </w:r>
      <w:r w:rsidRPr="005259AD">
        <w:rPr>
          <w:sz w:val="22"/>
          <w:szCs w:val="22"/>
          <w:lang w:val="hr-HR"/>
        </w:rPr>
        <w:t xml:space="preserve"> korisni</w:t>
      </w:r>
      <w:r w:rsidR="00330D37">
        <w:rPr>
          <w:sz w:val="22"/>
          <w:szCs w:val="22"/>
          <w:lang w:val="hr-HR"/>
        </w:rPr>
        <w:t>cima</w:t>
      </w:r>
      <w:r w:rsidRPr="005259AD">
        <w:rPr>
          <w:sz w:val="22"/>
          <w:szCs w:val="22"/>
          <w:lang w:val="hr-HR"/>
        </w:rPr>
        <w:t xml:space="preserve"> iz proračuna koji nije nadležan odnosno otočkih općina</w:t>
      </w:r>
      <w:r>
        <w:rPr>
          <w:sz w:val="22"/>
          <w:szCs w:val="22"/>
          <w:lang w:val="hr-HR"/>
        </w:rPr>
        <w:t xml:space="preserve"> tako su povećan</w:t>
      </w:r>
      <w:r w:rsidR="00124A9D">
        <w:rPr>
          <w:sz w:val="22"/>
          <w:szCs w:val="22"/>
          <w:lang w:val="hr-HR"/>
        </w:rPr>
        <w:t>e</w:t>
      </w:r>
      <w:r w:rsidR="002C6E4A">
        <w:rPr>
          <w:sz w:val="22"/>
          <w:szCs w:val="22"/>
          <w:lang w:val="hr-HR"/>
        </w:rPr>
        <w:t xml:space="preserve"> i usklađene s rashodima.</w:t>
      </w:r>
    </w:p>
    <w:p w14:paraId="47EA018F" w14:textId="77777777" w:rsidR="00080EB2" w:rsidRDefault="00080EB2" w:rsidP="00843759">
      <w:pPr>
        <w:jc w:val="both"/>
        <w:rPr>
          <w:sz w:val="22"/>
          <w:szCs w:val="22"/>
          <w:lang w:val="hr-HR"/>
        </w:rPr>
      </w:pPr>
    </w:p>
    <w:p w14:paraId="774A9905" w14:textId="77777777" w:rsidR="003314B2" w:rsidRPr="00672DF6" w:rsidRDefault="003314B2" w:rsidP="003314B2">
      <w:pPr>
        <w:jc w:val="both"/>
        <w:rPr>
          <w:b/>
          <w:sz w:val="22"/>
          <w:szCs w:val="22"/>
          <w:lang w:val="hr-HR"/>
        </w:rPr>
      </w:pPr>
      <w:r w:rsidRPr="00672DF6">
        <w:rPr>
          <w:b/>
          <w:sz w:val="22"/>
          <w:szCs w:val="22"/>
          <w:lang w:val="hr-HR"/>
        </w:rPr>
        <w:t>Prihodi od financijske imovine</w:t>
      </w:r>
    </w:p>
    <w:p w14:paraId="03DD5F5D" w14:textId="212233DA" w:rsidR="003314B2" w:rsidRDefault="003314B2" w:rsidP="003314B2">
      <w:pPr>
        <w:pStyle w:val="Odlomakpopisa"/>
        <w:ind w:left="0"/>
        <w:contextualSpacing/>
        <w:jc w:val="both"/>
        <w:rPr>
          <w:sz w:val="22"/>
          <w:szCs w:val="22"/>
          <w:lang w:val="hr-HR"/>
        </w:rPr>
      </w:pPr>
      <w:r>
        <w:rPr>
          <w:sz w:val="22"/>
          <w:szCs w:val="22"/>
          <w:lang w:val="hr-HR"/>
        </w:rPr>
        <w:t xml:space="preserve">Ovi prihodi </w:t>
      </w:r>
      <w:r w:rsidRPr="00672DF6">
        <w:rPr>
          <w:sz w:val="22"/>
          <w:szCs w:val="22"/>
          <w:lang w:val="hr-HR"/>
        </w:rPr>
        <w:t xml:space="preserve"> </w:t>
      </w:r>
      <w:r>
        <w:rPr>
          <w:sz w:val="22"/>
          <w:szCs w:val="22"/>
          <w:lang w:val="hr-HR"/>
        </w:rPr>
        <w:t xml:space="preserve">odnose se na prihode od zateznih kamata </w:t>
      </w:r>
      <w:r w:rsidR="002C6E4A">
        <w:rPr>
          <w:sz w:val="22"/>
          <w:szCs w:val="22"/>
          <w:lang w:val="hr-HR"/>
        </w:rPr>
        <w:t>kojih u ovom izvještajnom razdoblju nije bilo te</w:t>
      </w:r>
      <w:r>
        <w:rPr>
          <w:sz w:val="22"/>
          <w:szCs w:val="22"/>
          <w:lang w:val="hr-HR"/>
        </w:rPr>
        <w:t xml:space="preserve"> predstavlja </w:t>
      </w:r>
      <w:r w:rsidR="002C6E4A">
        <w:rPr>
          <w:sz w:val="22"/>
          <w:szCs w:val="22"/>
          <w:lang w:val="hr-HR"/>
        </w:rPr>
        <w:t>smanje</w:t>
      </w:r>
      <w:r w:rsidR="00840C1C">
        <w:rPr>
          <w:sz w:val="22"/>
          <w:szCs w:val="22"/>
          <w:lang w:val="hr-HR"/>
        </w:rPr>
        <w:t>nje</w:t>
      </w:r>
      <w:r>
        <w:rPr>
          <w:sz w:val="22"/>
          <w:szCs w:val="22"/>
          <w:lang w:val="hr-HR"/>
        </w:rPr>
        <w:t xml:space="preserve">  u odnosu na 202</w:t>
      </w:r>
      <w:r w:rsidR="002C6E4A">
        <w:rPr>
          <w:sz w:val="22"/>
          <w:szCs w:val="22"/>
          <w:lang w:val="hr-HR"/>
        </w:rPr>
        <w:t>4</w:t>
      </w:r>
      <w:r w:rsidRPr="00672DF6">
        <w:rPr>
          <w:sz w:val="22"/>
          <w:szCs w:val="22"/>
          <w:lang w:val="hr-HR"/>
        </w:rPr>
        <w:t>. godinu</w:t>
      </w:r>
      <w:r>
        <w:rPr>
          <w:sz w:val="22"/>
          <w:szCs w:val="22"/>
          <w:lang w:val="hr-HR"/>
        </w:rPr>
        <w:t xml:space="preserve"> kada je iznos bio </w:t>
      </w:r>
      <w:r w:rsidR="002C6E4A">
        <w:rPr>
          <w:sz w:val="22"/>
          <w:szCs w:val="22"/>
          <w:lang w:val="hr-HR"/>
        </w:rPr>
        <w:t>36</w:t>
      </w:r>
      <w:r>
        <w:rPr>
          <w:sz w:val="22"/>
          <w:szCs w:val="22"/>
          <w:lang w:val="hr-HR"/>
        </w:rPr>
        <w:t>,</w:t>
      </w:r>
      <w:r w:rsidR="002C6E4A">
        <w:rPr>
          <w:sz w:val="22"/>
          <w:szCs w:val="22"/>
          <w:lang w:val="hr-HR"/>
        </w:rPr>
        <w:t>52</w:t>
      </w:r>
      <w:r>
        <w:rPr>
          <w:sz w:val="22"/>
          <w:szCs w:val="22"/>
          <w:lang w:val="hr-HR"/>
        </w:rPr>
        <w:t xml:space="preserve"> </w:t>
      </w:r>
      <w:r w:rsidR="00124A9D">
        <w:rPr>
          <w:sz w:val="22"/>
          <w:szCs w:val="22"/>
          <w:lang w:val="hr-HR"/>
        </w:rPr>
        <w:t>€</w:t>
      </w:r>
      <w:r>
        <w:rPr>
          <w:sz w:val="22"/>
          <w:szCs w:val="22"/>
          <w:lang w:val="hr-HR"/>
        </w:rPr>
        <w:t xml:space="preserve">, </w:t>
      </w:r>
      <w:r w:rsidR="00124A9D">
        <w:rPr>
          <w:sz w:val="22"/>
          <w:szCs w:val="22"/>
          <w:lang w:val="hr-HR"/>
        </w:rPr>
        <w:t>prihodi se odnose na</w:t>
      </w:r>
      <w:r>
        <w:rPr>
          <w:sz w:val="22"/>
          <w:szCs w:val="22"/>
          <w:lang w:val="hr-HR"/>
        </w:rPr>
        <w:t xml:space="preserve"> naplat</w:t>
      </w:r>
      <w:r w:rsidR="00124A9D">
        <w:rPr>
          <w:sz w:val="22"/>
          <w:szCs w:val="22"/>
          <w:lang w:val="hr-HR"/>
        </w:rPr>
        <w:t>u</w:t>
      </w:r>
      <w:r>
        <w:rPr>
          <w:sz w:val="22"/>
          <w:szCs w:val="22"/>
          <w:lang w:val="hr-HR"/>
        </w:rPr>
        <w:t xml:space="preserve"> utuženog potraživanja uz koje su naplaćene i </w:t>
      </w:r>
      <w:r w:rsidR="00840C1C">
        <w:rPr>
          <w:sz w:val="22"/>
          <w:szCs w:val="22"/>
          <w:lang w:val="hr-HR"/>
        </w:rPr>
        <w:t xml:space="preserve">zatezne </w:t>
      </w:r>
      <w:r>
        <w:rPr>
          <w:sz w:val="22"/>
          <w:szCs w:val="22"/>
          <w:lang w:val="hr-HR"/>
        </w:rPr>
        <w:t>kamate.</w:t>
      </w:r>
    </w:p>
    <w:p w14:paraId="5EA020B7" w14:textId="77777777" w:rsidR="003314B2" w:rsidRDefault="003314B2" w:rsidP="003314B2">
      <w:pPr>
        <w:pStyle w:val="Odlomakpopisa"/>
        <w:ind w:left="0"/>
        <w:contextualSpacing/>
        <w:jc w:val="both"/>
        <w:rPr>
          <w:sz w:val="22"/>
          <w:szCs w:val="22"/>
          <w:lang w:val="hr-HR"/>
        </w:rPr>
      </w:pPr>
    </w:p>
    <w:p w14:paraId="4013F395" w14:textId="77777777" w:rsidR="00080EB2" w:rsidRPr="00672DF6" w:rsidRDefault="00080EB2" w:rsidP="00080EB2">
      <w:pPr>
        <w:jc w:val="both"/>
        <w:rPr>
          <w:rFonts w:ascii="Calibri" w:hAnsi="Calibri"/>
          <w:b/>
          <w:sz w:val="20"/>
          <w:szCs w:val="20"/>
        </w:rPr>
      </w:pPr>
      <w:r>
        <w:rPr>
          <w:b/>
          <w:sz w:val="22"/>
          <w:szCs w:val="22"/>
          <w:lang w:val="hr-HR"/>
        </w:rPr>
        <w:t xml:space="preserve"> Prihodi po posebnim propisima</w:t>
      </w:r>
    </w:p>
    <w:p w14:paraId="58747292" w14:textId="34019482" w:rsidR="00080EB2" w:rsidRDefault="00080EB2" w:rsidP="00080EB2">
      <w:pPr>
        <w:jc w:val="both"/>
        <w:rPr>
          <w:sz w:val="22"/>
          <w:szCs w:val="22"/>
          <w:lang w:val="hr-HR"/>
        </w:rPr>
      </w:pPr>
      <w:r w:rsidRPr="00672DF6">
        <w:rPr>
          <w:sz w:val="22"/>
          <w:szCs w:val="22"/>
          <w:lang w:val="hr-HR"/>
        </w:rPr>
        <w:t>Prihodi po posebnim propisima odnose se</w:t>
      </w:r>
      <w:r>
        <w:rPr>
          <w:sz w:val="22"/>
          <w:szCs w:val="22"/>
          <w:lang w:val="hr-HR"/>
        </w:rPr>
        <w:t xml:space="preserve"> na prihode od roditeljskih uplata i iznose </w:t>
      </w:r>
      <w:r w:rsidR="00EF396A">
        <w:rPr>
          <w:sz w:val="22"/>
          <w:szCs w:val="22"/>
          <w:lang w:val="hr-HR"/>
        </w:rPr>
        <w:t>297</w:t>
      </w:r>
      <w:r w:rsidR="00124A9D">
        <w:rPr>
          <w:sz w:val="22"/>
          <w:szCs w:val="22"/>
          <w:lang w:val="hr-HR"/>
        </w:rPr>
        <w:t>.</w:t>
      </w:r>
      <w:r w:rsidR="00EF396A">
        <w:rPr>
          <w:sz w:val="22"/>
          <w:szCs w:val="22"/>
          <w:lang w:val="hr-HR"/>
        </w:rPr>
        <w:t>571</w:t>
      </w:r>
      <w:r>
        <w:rPr>
          <w:sz w:val="22"/>
          <w:szCs w:val="22"/>
          <w:lang w:val="hr-HR"/>
        </w:rPr>
        <w:t>,</w:t>
      </w:r>
      <w:r w:rsidR="00EF396A">
        <w:rPr>
          <w:sz w:val="22"/>
          <w:szCs w:val="22"/>
          <w:lang w:val="hr-HR"/>
        </w:rPr>
        <w:t>93</w:t>
      </w:r>
      <w:r>
        <w:rPr>
          <w:sz w:val="22"/>
          <w:szCs w:val="22"/>
          <w:lang w:val="hr-HR"/>
        </w:rPr>
        <w:t xml:space="preserve"> </w:t>
      </w:r>
      <w:r w:rsidR="00124A9D">
        <w:rPr>
          <w:sz w:val="22"/>
          <w:szCs w:val="22"/>
          <w:lang w:val="hr-HR"/>
        </w:rPr>
        <w:t>€</w:t>
      </w:r>
      <w:r>
        <w:rPr>
          <w:sz w:val="22"/>
          <w:szCs w:val="22"/>
          <w:lang w:val="hr-HR"/>
        </w:rPr>
        <w:t xml:space="preserve"> u odnosu na 202</w:t>
      </w:r>
      <w:r w:rsidR="00EF396A">
        <w:rPr>
          <w:sz w:val="22"/>
          <w:szCs w:val="22"/>
          <w:lang w:val="hr-HR"/>
        </w:rPr>
        <w:t>4</w:t>
      </w:r>
      <w:r>
        <w:rPr>
          <w:sz w:val="22"/>
          <w:szCs w:val="22"/>
          <w:lang w:val="hr-HR"/>
        </w:rPr>
        <w:t xml:space="preserve">. godinu kad su prihodi po posebnim propisima iznosili </w:t>
      </w:r>
      <w:r w:rsidR="00E877BA">
        <w:rPr>
          <w:sz w:val="22"/>
          <w:szCs w:val="22"/>
          <w:lang w:val="hr-HR"/>
        </w:rPr>
        <w:t>30</w:t>
      </w:r>
      <w:r w:rsidR="00EF396A">
        <w:rPr>
          <w:sz w:val="22"/>
          <w:szCs w:val="22"/>
          <w:lang w:val="hr-HR"/>
        </w:rPr>
        <w:t>7</w:t>
      </w:r>
      <w:r w:rsidR="00124A9D">
        <w:rPr>
          <w:sz w:val="22"/>
          <w:szCs w:val="22"/>
          <w:lang w:val="hr-HR"/>
        </w:rPr>
        <w:t>.</w:t>
      </w:r>
      <w:r w:rsidR="00EF396A">
        <w:rPr>
          <w:sz w:val="22"/>
          <w:szCs w:val="22"/>
          <w:lang w:val="hr-HR"/>
        </w:rPr>
        <w:t>228</w:t>
      </w:r>
      <w:r w:rsidR="00124A9D">
        <w:rPr>
          <w:sz w:val="22"/>
          <w:szCs w:val="22"/>
          <w:lang w:val="hr-HR"/>
        </w:rPr>
        <w:t>,</w:t>
      </w:r>
      <w:r w:rsidR="00EF396A">
        <w:rPr>
          <w:sz w:val="22"/>
          <w:szCs w:val="22"/>
          <w:lang w:val="hr-HR"/>
        </w:rPr>
        <w:t>64</w:t>
      </w:r>
      <w:r w:rsidR="00124A9D">
        <w:rPr>
          <w:sz w:val="22"/>
          <w:szCs w:val="22"/>
          <w:lang w:val="hr-HR"/>
        </w:rPr>
        <w:t xml:space="preserve"> €</w:t>
      </w:r>
      <w:r>
        <w:rPr>
          <w:sz w:val="22"/>
          <w:szCs w:val="22"/>
          <w:lang w:val="hr-HR"/>
        </w:rPr>
        <w:t xml:space="preserve">, </w:t>
      </w:r>
      <w:r w:rsidR="00E877BA">
        <w:rPr>
          <w:sz w:val="22"/>
          <w:szCs w:val="22"/>
          <w:lang w:val="hr-HR"/>
        </w:rPr>
        <w:t>smanje</w:t>
      </w:r>
      <w:r w:rsidR="00124A9D">
        <w:rPr>
          <w:sz w:val="22"/>
          <w:szCs w:val="22"/>
          <w:lang w:val="hr-HR"/>
        </w:rPr>
        <w:t>ni</w:t>
      </w:r>
      <w:r>
        <w:rPr>
          <w:sz w:val="22"/>
          <w:szCs w:val="22"/>
          <w:lang w:val="hr-HR"/>
        </w:rPr>
        <w:t xml:space="preserve"> su </w:t>
      </w:r>
      <w:r w:rsidR="00124A9D">
        <w:rPr>
          <w:sz w:val="22"/>
          <w:szCs w:val="22"/>
          <w:lang w:val="hr-HR"/>
        </w:rPr>
        <w:t>za</w:t>
      </w:r>
      <w:r>
        <w:rPr>
          <w:sz w:val="22"/>
          <w:szCs w:val="22"/>
          <w:lang w:val="hr-HR"/>
        </w:rPr>
        <w:t xml:space="preserve"> </w:t>
      </w:r>
      <w:r w:rsidR="00EF396A">
        <w:rPr>
          <w:sz w:val="22"/>
          <w:szCs w:val="22"/>
          <w:lang w:val="hr-HR"/>
        </w:rPr>
        <w:t>3</w:t>
      </w:r>
      <w:r>
        <w:rPr>
          <w:sz w:val="22"/>
          <w:szCs w:val="22"/>
          <w:lang w:val="hr-HR"/>
        </w:rPr>
        <w:t>%, razlog tome je</w:t>
      </w:r>
      <w:r w:rsidRPr="00C32366">
        <w:rPr>
          <w:sz w:val="22"/>
          <w:szCs w:val="22"/>
          <w:lang w:val="hr-HR"/>
        </w:rPr>
        <w:t xml:space="preserve"> </w:t>
      </w:r>
      <w:r w:rsidR="0088497C">
        <w:rPr>
          <w:sz w:val="22"/>
          <w:szCs w:val="22"/>
          <w:lang w:val="hr-HR"/>
        </w:rPr>
        <w:t>dinamika uplata</w:t>
      </w:r>
      <w:r>
        <w:rPr>
          <w:sz w:val="22"/>
          <w:szCs w:val="22"/>
          <w:lang w:val="hr-HR"/>
        </w:rPr>
        <w:t xml:space="preserve"> roditeljskih uplata na dan izvještaja te nešto </w:t>
      </w:r>
      <w:r w:rsidR="00E877BA">
        <w:rPr>
          <w:sz w:val="22"/>
          <w:szCs w:val="22"/>
          <w:lang w:val="hr-HR"/>
        </w:rPr>
        <w:t>manj</w:t>
      </w:r>
      <w:r w:rsidR="00DB0522">
        <w:rPr>
          <w:sz w:val="22"/>
          <w:szCs w:val="22"/>
          <w:lang w:val="hr-HR"/>
        </w:rPr>
        <w:t>i</w:t>
      </w:r>
      <w:r>
        <w:rPr>
          <w:sz w:val="22"/>
          <w:szCs w:val="22"/>
          <w:lang w:val="hr-HR"/>
        </w:rPr>
        <w:t xml:space="preserve"> broj upisane djece u Dječji vrtić u pedagoškoj 202</w:t>
      </w:r>
      <w:r w:rsidR="00EF396A">
        <w:rPr>
          <w:sz w:val="22"/>
          <w:szCs w:val="22"/>
          <w:lang w:val="hr-HR"/>
        </w:rPr>
        <w:t>4</w:t>
      </w:r>
      <w:r>
        <w:rPr>
          <w:sz w:val="22"/>
          <w:szCs w:val="22"/>
          <w:lang w:val="hr-HR"/>
        </w:rPr>
        <w:t>/202</w:t>
      </w:r>
      <w:r w:rsidR="00EF396A">
        <w:rPr>
          <w:sz w:val="22"/>
          <w:szCs w:val="22"/>
          <w:lang w:val="hr-HR"/>
        </w:rPr>
        <w:t>5</w:t>
      </w:r>
      <w:r>
        <w:rPr>
          <w:sz w:val="22"/>
          <w:szCs w:val="22"/>
          <w:lang w:val="hr-HR"/>
        </w:rPr>
        <w:t>.godini.</w:t>
      </w:r>
      <w:r w:rsidR="00124A9D">
        <w:rPr>
          <w:sz w:val="22"/>
          <w:szCs w:val="22"/>
          <w:lang w:val="hr-HR"/>
        </w:rPr>
        <w:t xml:space="preserve"> Plan za tekuće razdoblje iznosi 5</w:t>
      </w:r>
      <w:r w:rsidR="00EF396A">
        <w:rPr>
          <w:sz w:val="22"/>
          <w:szCs w:val="22"/>
          <w:lang w:val="hr-HR"/>
        </w:rPr>
        <w:t>64</w:t>
      </w:r>
      <w:r w:rsidR="00124A9D">
        <w:rPr>
          <w:sz w:val="22"/>
          <w:szCs w:val="22"/>
          <w:lang w:val="hr-HR"/>
        </w:rPr>
        <w:t>.</w:t>
      </w:r>
      <w:r w:rsidR="00EF396A">
        <w:rPr>
          <w:sz w:val="22"/>
          <w:szCs w:val="22"/>
          <w:lang w:val="hr-HR"/>
        </w:rPr>
        <w:t>5</w:t>
      </w:r>
      <w:r w:rsidR="00124A9D">
        <w:rPr>
          <w:sz w:val="22"/>
          <w:szCs w:val="22"/>
          <w:lang w:val="hr-HR"/>
        </w:rPr>
        <w:t>00,00 € što znači da je ostvarenje plana 5</w:t>
      </w:r>
      <w:r w:rsidR="00EF396A">
        <w:rPr>
          <w:sz w:val="22"/>
          <w:szCs w:val="22"/>
          <w:lang w:val="hr-HR"/>
        </w:rPr>
        <w:t>3</w:t>
      </w:r>
      <w:r w:rsidR="00124A9D">
        <w:rPr>
          <w:sz w:val="22"/>
          <w:szCs w:val="22"/>
          <w:lang w:val="hr-HR"/>
        </w:rPr>
        <w:t xml:space="preserve"> %.</w:t>
      </w:r>
      <w:r w:rsidR="00E877BA">
        <w:rPr>
          <w:sz w:val="22"/>
          <w:szCs w:val="22"/>
          <w:lang w:val="hr-HR"/>
        </w:rPr>
        <w:t xml:space="preserve"> U toku ljetnih mjeseci očekuje se veći broj odjava</w:t>
      </w:r>
      <w:r w:rsidR="00DB0522">
        <w:rPr>
          <w:sz w:val="22"/>
          <w:szCs w:val="22"/>
          <w:lang w:val="hr-HR"/>
        </w:rPr>
        <w:t xml:space="preserve"> djece od </w:t>
      </w:r>
      <w:r w:rsidR="00EF396A">
        <w:rPr>
          <w:sz w:val="22"/>
          <w:szCs w:val="22"/>
          <w:lang w:val="hr-HR"/>
        </w:rPr>
        <w:t>do</w:t>
      </w:r>
      <w:r w:rsidR="00DB0522">
        <w:rPr>
          <w:sz w:val="22"/>
          <w:szCs w:val="22"/>
          <w:lang w:val="hr-HR"/>
        </w:rPr>
        <w:t>laska</w:t>
      </w:r>
      <w:r w:rsidR="00EF396A">
        <w:rPr>
          <w:sz w:val="22"/>
          <w:szCs w:val="22"/>
          <w:lang w:val="hr-HR"/>
        </w:rPr>
        <w:t xml:space="preserve"> u</w:t>
      </w:r>
      <w:r w:rsidR="00DB0522">
        <w:rPr>
          <w:sz w:val="22"/>
          <w:szCs w:val="22"/>
          <w:lang w:val="hr-HR"/>
        </w:rPr>
        <w:t xml:space="preserve"> Vrtić te se ovaj prihodi u drugom polugodištu</w:t>
      </w:r>
      <w:r w:rsidR="00EF396A">
        <w:rPr>
          <w:sz w:val="22"/>
          <w:szCs w:val="22"/>
          <w:lang w:val="hr-HR"/>
        </w:rPr>
        <w:t xml:space="preserve"> planira</w:t>
      </w:r>
      <w:r w:rsidR="00DB0522">
        <w:rPr>
          <w:sz w:val="22"/>
          <w:szCs w:val="22"/>
          <w:lang w:val="hr-HR"/>
        </w:rPr>
        <w:t xml:space="preserve"> nešto niži u odnosu na prvo polugodište.</w:t>
      </w:r>
    </w:p>
    <w:p w14:paraId="065C23E8" w14:textId="77777777" w:rsidR="00080EB2" w:rsidRDefault="00080EB2" w:rsidP="00080EB2">
      <w:pPr>
        <w:pStyle w:val="Zaglavlje"/>
        <w:jc w:val="both"/>
        <w:rPr>
          <w:sz w:val="22"/>
          <w:szCs w:val="22"/>
          <w:lang w:val="hr-HR"/>
        </w:rPr>
      </w:pPr>
    </w:p>
    <w:p w14:paraId="0D12916A" w14:textId="551628D4" w:rsidR="00151B91" w:rsidRDefault="00151B91" w:rsidP="00151B91">
      <w:pPr>
        <w:pStyle w:val="Zaglavlje"/>
        <w:jc w:val="both"/>
        <w:rPr>
          <w:b/>
          <w:sz w:val="22"/>
          <w:szCs w:val="22"/>
          <w:lang w:val="hr-HR"/>
        </w:rPr>
      </w:pPr>
      <w:r w:rsidRPr="002641FE">
        <w:rPr>
          <w:b/>
          <w:sz w:val="22"/>
          <w:szCs w:val="22"/>
          <w:lang w:val="hr-HR"/>
        </w:rPr>
        <w:t xml:space="preserve">Prihodi od </w:t>
      </w:r>
      <w:r>
        <w:rPr>
          <w:b/>
          <w:sz w:val="22"/>
          <w:szCs w:val="22"/>
          <w:lang w:val="hr-HR"/>
        </w:rPr>
        <w:t>donacija pravnih i fizičkih osoba izvan općeg proračuna</w:t>
      </w:r>
    </w:p>
    <w:p w14:paraId="4C1B749A" w14:textId="7D6B3778" w:rsidR="00151B91" w:rsidRPr="00C84E3E" w:rsidRDefault="00151B91" w:rsidP="00151B91">
      <w:pPr>
        <w:jc w:val="both"/>
        <w:rPr>
          <w:sz w:val="22"/>
          <w:szCs w:val="22"/>
          <w:lang w:val="hr-HR"/>
        </w:rPr>
      </w:pPr>
      <w:bookmarkStart w:id="3" w:name="_Hlk165617329"/>
      <w:r w:rsidRPr="00C84E3E">
        <w:rPr>
          <w:sz w:val="22"/>
          <w:szCs w:val="22"/>
          <w:lang w:val="hr-HR"/>
        </w:rPr>
        <w:t xml:space="preserve">Prihod od donacija u iznosu 1.500,00 </w:t>
      </w:r>
      <w:r>
        <w:rPr>
          <w:sz w:val="22"/>
          <w:szCs w:val="22"/>
          <w:lang w:val="hr-HR"/>
        </w:rPr>
        <w:t>€</w:t>
      </w:r>
      <w:r w:rsidRPr="00C84E3E">
        <w:rPr>
          <w:sz w:val="22"/>
          <w:szCs w:val="22"/>
          <w:lang w:val="hr-HR"/>
        </w:rPr>
        <w:t xml:space="preserve"> </w:t>
      </w:r>
      <w:bookmarkEnd w:id="3"/>
      <w:r w:rsidRPr="00C84E3E">
        <w:rPr>
          <w:sz w:val="22"/>
          <w:szCs w:val="22"/>
          <w:lang w:val="hr-HR"/>
        </w:rPr>
        <w:t>odnos</w:t>
      </w:r>
      <w:r w:rsidRPr="00985F15">
        <w:rPr>
          <w:sz w:val="22"/>
          <w:szCs w:val="22"/>
          <w:lang w:val="hr-HR"/>
        </w:rPr>
        <w:t>i</w:t>
      </w:r>
      <w:r w:rsidRPr="00C84E3E">
        <w:rPr>
          <w:sz w:val="22"/>
          <w:szCs w:val="22"/>
          <w:lang w:val="hr-HR"/>
        </w:rPr>
        <w:t xml:space="preserve"> se na prihod odnosno nagradu dobivenu prijavom na eko natječaj za škole i dječje vrtiće što je raspisao Novi list dnevne novine i Ina d.d. </w:t>
      </w:r>
    </w:p>
    <w:p w14:paraId="73DCD72B" w14:textId="77777777" w:rsidR="00151B91" w:rsidRDefault="00151B91" w:rsidP="00080EB2">
      <w:pPr>
        <w:pStyle w:val="Zaglavlje"/>
        <w:jc w:val="both"/>
        <w:rPr>
          <w:sz w:val="22"/>
          <w:szCs w:val="22"/>
          <w:lang w:val="hr-HR"/>
        </w:rPr>
      </w:pPr>
    </w:p>
    <w:p w14:paraId="17DA3F18" w14:textId="77777777" w:rsidR="00080EB2" w:rsidRPr="00672DF6" w:rsidRDefault="00080EB2" w:rsidP="00080EB2">
      <w:pPr>
        <w:jc w:val="both"/>
        <w:rPr>
          <w:rFonts w:ascii="Calibri" w:hAnsi="Calibri"/>
          <w:b/>
          <w:sz w:val="20"/>
          <w:szCs w:val="20"/>
        </w:rPr>
      </w:pPr>
      <w:r>
        <w:rPr>
          <w:b/>
          <w:sz w:val="22"/>
          <w:szCs w:val="22"/>
          <w:lang w:val="hr-HR"/>
        </w:rPr>
        <w:t xml:space="preserve"> Prihodi iz nadležnog proračuna za financiranje rashoda poslovanja</w:t>
      </w:r>
    </w:p>
    <w:p w14:paraId="3B40DEEA" w14:textId="77777777" w:rsidR="002243A0" w:rsidRDefault="002243A0" w:rsidP="002243A0">
      <w:pPr>
        <w:tabs>
          <w:tab w:val="center" w:pos="4536"/>
          <w:tab w:val="right" w:pos="9072"/>
        </w:tabs>
        <w:jc w:val="both"/>
        <w:rPr>
          <w:sz w:val="22"/>
          <w:szCs w:val="22"/>
          <w:lang w:val="hr-HR"/>
        </w:rPr>
      </w:pPr>
      <w:r w:rsidRPr="002243A0">
        <w:rPr>
          <w:sz w:val="22"/>
          <w:szCs w:val="22"/>
          <w:lang w:val="hr-HR"/>
        </w:rPr>
        <w:t xml:space="preserve">Ovi prihodi odnose se na  prihode iz nadležnog proračuna Grada Krka za financiranje rashoda poslovanja u dječjem vrtiću Krk te područnim vrtićima Krk, Vrh i </w:t>
      </w:r>
      <w:proofErr w:type="spellStart"/>
      <w:r w:rsidRPr="002243A0">
        <w:rPr>
          <w:sz w:val="22"/>
          <w:szCs w:val="22"/>
          <w:lang w:val="hr-HR"/>
        </w:rPr>
        <w:t>Milohnići</w:t>
      </w:r>
      <w:proofErr w:type="spellEnd"/>
      <w:r w:rsidRPr="002243A0">
        <w:rPr>
          <w:sz w:val="22"/>
          <w:szCs w:val="22"/>
          <w:lang w:val="hr-HR"/>
        </w:rPr>
        <w:t xml:space="preserve"> u iznosu 870.321,10 € dok su u 2024. godini iznosili 660.500,00 €, povećanje iznosi 3</w:t>
      </w:r>
      <w:r>
        <w:rPr>
          <w:sz w:val="22"/>
          <w:szCs w:val="22"/>
          <w:lang w:val="hr-HR"/>
        </w:rPr>
        <w:t>2</w:t>
      </w:r>
      <w:r w:rsidRPr="002243A0">
        <w:rPr>
          <w:sz w:val="22"/>
          <w:szCs w:val="22"/>
          <w:lang w:val="hr-HR"/>
        </w:rPr>
        <w:t>%.</w:t>
      </w:r>
    </w:p>
    <w:p w14:paraId="4C5B577C" w14:textId="422C5EE2" w:rsidR="002243A0" w:rsidRPr="002243A0" w:rsidRDefault="002243A0" w:rsidP="002243A0">
      <w:pPr>
        <w:tabs>
          <w:tab w:val="center" w:pos="4536"/>
          <w:tab w:val="right" w:pos="9072"/>
        </w:tabs>
        <w:jc w:val="both"/>
        <w:rPr>
          <w:sz w:val="22"/>
          <w:szCs w:val="22"/>
          <w:lang w:val="hr-HR"/>
        </w:rPr>
      </w:pPr>
      <w:r w:rsidRPr="002243A0">
        <w:rPr>
          <w:sz w:val="22"/>
          <w:szCs w:val="22"/>
          <w:lang w:val="hr-HR"/>
        </w:rPr>
        <w:t xml:space="preserve"> Financiranje rashoda poslovanja za redovnu djelatnost iznosi 869.152,00 € dok rashodi za nabavu nefinancijske imovine  u ovom izvještajnom razdoblju iznose 1.169,10 €. Razlog povećanja prihoda iz nadležnog proračuna odnosi se na povećanje sredstava za financiranje rashoda za zaposlene, nabave materijala i sirovina, usluga obavljanja studentskog posla za zamjene odsutnih odgojitelja.</w:t>
      </w:r>
    </w:p>
    <w:p w14:paraId="32DA0198" w14:textId="77777777" w:rsidR="00080EB2" w:rsidRDefault="00080EB2" w:rsidP="00080EB2">
      <w:pPr>
        <w:pStyle w:val="Zaglavlje"/>
        <w:jc w:val="both"/>
        <w:rPr>
          <w:sz w:val="22"/>
          <w:szCs w:val="22"/>
          <w:lang w:val="hr-HR"/>
        </w:rPr>
      </w:pPr>
    </w:p>
    <w:bookmarkEnd w:id="1"/>
    <w:bookmarkEnd w:id="2"/>
    <w:p w14:paraId="7894DADC" w14:textId="4DA6DED1" w:rsidR="00B62217" w:rsidRDefault="008B35FF">
      <w:pPr>
        <w:jc w:val="both"/>
        <w:rPr>
          <w:bCs/>
          <w:sz w:val="22"/>
          <w:szCs w:val="22"/>
          <w:lang w:val="hr-HR"/>
        </w:rPr>
      </w:pPr>
      <w:r>
        <w:rPr>
          <w:noProof/>
        </w:rPr>
        <w:lastRenderedPageBreak/>
        <w:drawing>
          <wp:inline distT="0" distB="0" distL="0" distR="0" wp14:anchorId="24F1829E" wp14:editId="3BAF594C">
            <wp:extent cx="5810400" cy="2764155"/>
            <wp:effectExtent l="0" t="0" r="0" b="17145"/>
            <wp:docPr id="1630486681" name="Grafikon 1">
              <a:extLst xmlns:a="http://schemas.openxmlformats.org/drawingml/2006/main">
                <a:ext uri="{FF2B5EF4-FFF2-40B4-BE49-F238E27FC236}">
                  <a16:creationId xmlns:a16="http://schemas.microsoft.com/office/drawing/2014/main" id="{A6A59E07-B2E6-30CF-EEB5-AACCCE22C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BE71C0" w14:textId="77777777" w:rsidR="00FA1939" w:rsidRDefault="00FA1939" w:rsidP="00D44842">
      <w:pPr>
        <w:pStyle w:val="Zaglavlje"/>
        <w:jc w:val="both"/>
        <w:rPr>
          <w:sz w:val="22"/>
          <w:szCs w:val="22"/>
          <w:lang w:val="hr-HR"/>
        </w:rPr>
      </w:pPr>
    </w:p>
    <w:p w14:paraId="01A8AE04" w14:textId="77777777" w:rsidR="000B019A" w:rsidRDefault="000B019A" w:rsidP="00D44842">
      <w:pPr>
        <w:pStyle w:val="Zaglavlje"/>
        <w:jc w:val="both"/>
        <w:rPr>
          <w:sz w:val="22"/>
          <w:szCs w:val="22"/>
          <w:lang w:val="hr-HR"/>
        </w:rPr>
      </w:pPr>
    </w:p>
    <w:p w14:paraId="110E2C4F" w14:textId="77777777" w:rsidR="000B019A" w:rsidRDefault="000B019A" w:rsidP="00D44842">
      <w:pPr>
        <w:pStyle w:val="Zaglavlje"/>
        <w:jc w:val="both"/>
        <w:rPr>
          <w:sz w:val="22"/>
          <w:szCs w:val="22"/>
          <w:lang w:val="hr-HR"/>
        </w:rPr>
      </w:pPr>
    </w:p>
    <w:p w14:paraId="17DD54F3" w14:textId="77777777" w:rsidR="00FA1939" w:rsidRPr="009A4B90" w:rsidRDefault="00FA1939" w:rsidP="00FA1939">
      <w:pPr>
        <w:tabs>
          <w:tab w:val="left" w:pos="1530"/>
        </w:tabs>
        <w:jc w:val="both"/>
        <w:rPr>
          <w:b/>
          <w:sz w:val="22"/>
          <w:szCs w:val="22"/>
          <w:lang w:val="hr-HR"/>
        </w:rPr>
      </w:pPr>
      <w:r w:rsidRPr="009A4B90">
        <w:rPr>
          <w:b/>
          <w:sz w:val="22"/>
          <w:szCs w:val="22"/>
          <w:lang w:val="hr-HR"/>
        </w:rPr>
        <w:t>Tablica 3. Rashodi  poslovanja po ekonomskoj klasifikaciji</w:t>
      </w:r>
    </w:p>
    <w:tbl>
      <w:tblP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89"/>
        <w:gridCol w:w="3897"/>
        <w:gridCol w:w="1701"/>
        <w:gridCol w:w="1559"/>
        <w:gridCol w:w="1134"/>
      </w:tblGrid>
      <w:tr w:rsidR="00FA1939" w:rsidRPr="009A4B90" w14:paraId="20E6D58C" w14:textId="77777777" w:rsidTr="009A4B90">
        <w:trPr>
          <w:trHeight w:val="600"/>
        </w:trPr>
        <w:tc>
          <w:tcPr>
            <w:tcW w:w="889" w:type="dxa"/>
            <w:shd w:val="clear" w:color="000000" w:fill="BFBFBF"/>
            <w:vAlign w:val="bottom"/>
            <w:hideMark/>
          </w:tcPr>
          <w:p w14:paraId="21109AA3" w14:textId="77777777" w:rsidR="00FA1939" w:rsidRPr="009A4B90" w:rsidRDefault="00FA1939" w:rsidP="00FA1939">
            <w:pPr>
              <w:rPr>
                <w:color w:val="000000"/>
                <w:sz w:val="20"/>
                <w:szCs w:val="20"/>
                <w:lang w:val="hr-HR" w:eastAsia="hr-HR"/>
              </w:rPr>
            </w:pPr>
            <w:r w:rsidRPr="009A4B90">
              <w:rPr>
                <w:color w:val="000000"/>
                <w:sz w:val="20"/>
                <w:szCs w:val="20"/>
                <w:lang w:val="hr-HR"/>
              </w:rPr>
              <w:t>Račun rashoda</w:t>
            </w:r>
          </w:p>
        </w:tc>
        <w:tc>
          <w:tcPr>
            <w:tcW w:w="3897" w:type="dxa"/>
            <w:shd w:val="clear" w:color="000000" w:fill="BFBFBF"/>
            <w:noWrap/>
            <w:vAlign w:val="center"/>
            <w:hideMark/>
          </w:tcPr>
          <w:p w14:paraId="15092713" w14:textId="77777777" w:rsidR="00FA1939" w:rsidRPr="009A4B90" w:rsidRDefault="00FA1939" w:rsidP="00FA1939">
            <w:pPr>
              <w:jc w:val="center"/>
              <w:rPr>
                <w:color w:val="000000"/>
                <w:sz w:val="20"/>
                <w:szCs w:val="20"/>
                <w:lang w:val="hr-HR"/>
              </w:rPr>
            </w:pPr>
            <w:r w:rsidRPr="009A4B90">
              <w:rPr>
                <w:color w:val="000000"/>
                <w:sz w:val="20"/>
                <w:szCs w:val="20"/>
                <w:lang w:val="hr-HR"/>
              </w:rPr>
              <w:t>Rashodi po ekonomskoj klasifikaciji</w:t>
            </w:r>
          </w:p>
        </w:tc>
        <w:tc>
          <w:tcPr>
            <w:tcW w:w="1701" w:type="dxa"/>
            <w:shd w:val="clear" w:color="000000" w:fill="BFBFBF"/>
            <w:vAlign w:val="bottom"/>
            <w:hideMark/>
          </w:tcPr>
          <w:p w14:paraId="1B2CBECC" w14:textId="77777777" w:rsidR="00FA1939" w:rsidRPr="009A4B90" w:rsidRDefault="00FA1939" w:rsidP="00FA1939">
            <w:pPr>
              <w:jc w:val="center"/>
              <w:rPr>
                <w:color w:val="000000"/>
                <w:sz w:val="20"/>
                <w:szCs w:val="20"/>
                <w:lang w:val="hr-HR"/>
              </w:rPr>
            </w:pPr>
            <w:r w:rsidRPr="009A4B90">
              <w:rPr>
                <w:color w:val="000000"/>
                <w:sz w:val="20"/>
                <w:szCs w:val="20"/>
                <w:lang w:val="hr-HR"/>
              </w:rPr>
              <w:t>Ostvarenje 1-6/</w:t>
            </w:r>
          </w:p>
          <w:p w14:paraId="1EA0691C" w14:textId="46CB55DF" w:rsidR="00FA1939" w:rsidRPr="009A4B90" w:rsidRDefault="00FA1939" w:rsidP="00FA1939">
            <w:pPr>
              <w:jc w:val="center"/>
              <w:rPr>
                <w:color w:val="000000"/>
                <w:sz w:val="20"/>
                <w:szCs w:val="20"/>
                <w:lang w:val="hr-HR"/>
              </w:rPr>
            </w:pPr>
            <w:r w:rsidRPr="009A4B90">
              <w:rPr>
                <w:color w:val="000000"/>
                <w:sz w:val="20"/>
                <w:szCs w:val="20"/>
                <w:lang w:val="hr-HR"/>
              </w:rPr>
              <w:t>202</w:t>
            </w:r>
            <w:r w:rsidR="000B019A">
              <w:rPr>
                <w:color w:val="000000"/>
                <w:sz w:val="20"/>
                <w:szCs w:val="20"/>
                <w:lang w:val="hr-HR"/>
              </w:rPr>
              <w:t>4</w:t>
            </w:r>
            <w:r w:rsidRPr="009A4B90">
              <w:rPr>
                <w:color w:val="000000"/>
                <w:sz w:val="20"/>
                <w:szCs w:val="20"/>
                <w:lang w:val="hr-HR"/>
              </w:rPr>
              <w:t xml:space="preserve">. godine  </w:t>
            </w:r>
          </w:p>
        </w:tc>
        <w:tc>
          <w:tcPr>
            <w:tcW w:w="1559" w:type="dxa"/>
            <w:shd w:val="clear" w:color="000000" w:fill="BFBFBF"/>
            <w:vAlign w:val="bottom"/>
            <w:hideMark/>
          </w:tcPr>
          <w:p w14:paraId="0AED1837" w14:textId="77777777" w:rsidR="00FA1939" w:rsidRPr="009A4B90" w:rsidRDefault="00FA1939" w:rsidP="00FA1939">
            <w:pPr>
              <w:jc w:val="center"/>
              <w:rPr>
                <w:color w:val="000000"/>
                <w:sz w:val="20"/>
                <w:szCs w:val="20"/>
                <w:lang w:val="hr-HR"/>
              </w:rPr>
            </w:pPr>
            <w:r w:rsidRPr="009A4B90">
              <w:rPr>
                <w:color w:val="000000"/>
                <w:sz w:val="20"/>
                <w:szCs w:val="20"/>
                <w:lang w:val="hr-HR"/>
              </w:rPr>
              <w:t>Ostvarenje 1-6/</w:t>
            </w:r>
          </w:p>
          <w:p w14:paraId="44C69C92" w14:textId="78BFBF40" w:rsidR="00FA1939" w:rsidRPr="009A4B90" w:rsidRDefault="00FA1939" w:rsidP="00FA1939">
            <w:pPr>
              <w:rPr>
                <w:color w:val="000000"/>
                <w:sz w:val="20"/>
                <w:szCs w:val="20"/>
                <w:lang w:val="hr-HR"/>
              </w:rPr>
            </w:pPr>
            <w:r w:rsidRPr="009A4B90">
              <w:rPr>
                <w:color w:val="000000"/>
                <w:sz w:val="20"/>
                <w:szCs w:val="20"/>
                <w:lang w:val="hr-HR"/>
              </w:rPr>
              <w:t xml:space="preserve">   202</w:t>
            </w:r>
            <w:r w:rsidR="000B019A">
              <w:rPr>
                <w:color w:val="000000"/>
                <w:sz w:val="20"/>
                <w:szCs w:val="20"/>
                <w:lang w:val="hr-HR"/>
              </w:rPr>
              <w:t>5</w:t>
            </w:r>
            <w:r w:rsidRPr="009A4B90">
              <w:rPr>
                <w:color w:val="000000"/>
                <w:sz w:val="20"/>
                <w:szCs w:val="20"/>
                <w:lang w:val="hr-HR"/>
              </w:rPr>
              <w:t>. godinu</w:t>
            </w:r>
          </w:p>
        </w:tc>
        <w:tc>
          <w:tcPr>
            <w:tcW w:w="1134" w:type="dxa"/>
            <w:shd w:val="clear" w:color="000000" w:fill="BFBFBF"/>
            <w:noWrap/>
            <w:vAlign w:val="center"/>
            <w:hideMark/>
          </w:tcPr>
          <w:p w14:paraId="1271556C"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Indeks</w:t>
            </w:r>
          </w:p>
        </w:tc>
      </w:tr>
      <w:tr w:rsidR="00FA1939" w:rsidRPr="009A4B90" w14:paraId="0438A9C9" w14:textId="77777777" w:rsidTr="009A4B90">
        <w:trPr>
          <w:trHeight w:val="202"/>
        </w:trPr>
        <w:tc>
          <w:tcPr>
            <w:tcW w:w="889" w:type="dxa"/>
            <w:shd w:val="clear" w:color="auto" w:fill="D9D9D9"/>
            <w:vAlign w:val="bottom"/>
            <w:hideMark/>
          </w:tcPr>
          <w:p w14:paraId="529B1002" w14:textId="77777777" w:rsidR="00FA1939" w:rsidRPr="009A4B90" w:rsidRDefault="00FA1939" w:rsidP="00FA1939">
            <w:pPr>
              <w:jc w:val="center"/>
              <w:rPr>
                <w:b/>
                <w:bCs/>
                <w:sz w:val="20"/>
                <w:szCs w:val="20"/>
                <w:lang w:val="hr-HR"/>
              </w:rPr>
            </w:pPr>
            <w:r w:rsidRPr="009A4B90">
              <w:rPr>
                <w:b/>
                <w:bCs/>
                <w:sz w:val="20"/>
                <w:szCs w:val="20"/>
                <w:lang w:val="hr-HR"/>
              </w:rPr>
              <w:t>1</w:t>
            </w:r>
          </w:p>
        </w:tc>
        <w:tc>
          <w:tcPr>
            <w:tcW w:w="3897" w:type="dxa"/>
            <w:shd w:val="clear" w:color="auto" w:fill="D9D9D9"/>
            <w:noWrap/>
            <w:vAlign w:val="center"/>
            <w:hideMark/>
          </w:tcPr>
          <w:p w14:paraId="21C206C1" w14:textId="77777777" w:rsidR="00FA1939" w:rsidRPr="009A4B90" w:rsidRDefault="00FA1939" w:rsidP="00FA1939">
            <w:pPr>
              <w:jc w:val="center"/>
              <w:rPr>
                <w:b/>
                <w:bCs/>
                <w:sz w:val="20"/>
                <w:szCs w:val="20"/>
                <w:lang w:val="hr-HR"/>
              </w:rPr>
            </w:pPr>
            <w:r w:rsidRPr="009A4B90">
              <w:rPr>
                <w:b/>
                <w:bCs/>
                <w:sz w:val="20"/>
                <w:szCs w:val="20"/>
                <w:lang w:val="hr-HR"/>
              </w:rPr>
              <w:t>2</w:t>
            </w:r>
          </w:p>
        </w:tc>
        <w:tc>
          <w:tcPr>
            <w:tcW w:w="1701" w:type="dxa"/>
            <w:shd w:val="clear" w:color="auto" w:fill="D9D9D9"/>
            <w:vAlign w:val="bottom"/>
            <w:hideMark/>
          </w:tcPr>
          <w:p w14:paraId="2B89CE6A" w14:textId="77777777" w:rsidR="00FA1939" w:rsidRPr="009A4B90" w:rsidRDefault="00FA1939" w:rsidP="00FA1939">
            <w:pPr>
              <w:jc w:val="center"/>
              <w:rPr>
                <w:b/>
                <w:bCs/>
                <w:sz w:val="20"/>
                <w:szCs w:val="20"/>
                <w:lang w:val="hr-HR"/>
              </w:rPr>
            </w:pPr>
            <w:r w:rsidRPr="009A4B90">
              <w:rPr>
                <w:b/>
                <w:bCs/>
                <w:sz w:val="20"/>
                <w:szCs w:val="20"/>
                <w:lang w:val="hr-HR"/>
              </w:rPr>
              <w:t>3</w:t>
            </w:r>
          </w:p>
        </w:tc>
        <w:tc>
          <w:tcPr>
            <w:tcW w:w="1559" w:type="dxa"/>
            <w:shd w:val="clear" w:color="auto" w:fill="D9D9D9"/>
            <w:vAlign w:val="bottom"/>
            <w:hideMark/>
          </w:tcPr>
          <w:p w14:paraId="60C08A1A" w14:textId="77777777" w:rsidR="00FA1939" w:rsidRPr="009A4B90" w:rsidRDefault="00FA1939" w:rsidP="00FA1939">
            <w:pPr>
              <w:jc w:val="center"/>
              <w:rPr>
                <w:b/>
                <w:bCs/>
                <w:sz w:val="20"/>
                <w:szCs w:val="20"/>
                <w:lang w:val="hr-HR"/>
              </w:rPr>
            </w:pPr>
            <w:r w:rsidRPr="009A4B90">
              <w:rPr>
                <w:b/>
                <w:bCs/>
                <w:sz w:val="20"/>
                <w:szCs w:val="20"/>
                <w:lang w:val="hr-HR"/>
              </w:rPr>
              <w:t>4</w:t>
            </w:r>
          </w:p>
        </w:tc>
        <w:tc>
          <w:tcPr>
            <w:tcW w:w="1134" w:type="dxa"/>
            <w:shd w:val="clear" w:color="auto" w:fill="D9D9D9"/>
            <w:noWrap/>
            <w:vAlign w:val="center"/>
            <w:hideMark/>
          </w:tcPr>
          <w:p w14:paraId="557F003B" w14:textId="77777777" w:rsidR="00FA1939" w:rsidRPr="009A4B90" w:rsidRDefault="00FA1939" w:rsidP="00FA1939">
            <w:pPr>
              <w:rPr>
                <w:sz w:val="20"/>
                <w:szCs w:val="20"/>
                <w:lang w:val="hr-HR"/>
              </w:rPr>
            </w:pPr>
            <w:r w:rsidRPr="009A4B90">
              <w:rPr>
                <w:sz w:val="20"/>
                <w:szCs w:val="20"/>
                <w:lang w:val="hr-HR"/>
              </w:rPr>
              <w:t>5=4/3*100</w:t>
            </w:r>
          </w:p>
        </w:tc>
      </w:tr>
      <w:tr w:rsidR="00FA1939" w:rsidRPr="009A4B90" w14:paraId="72A828A2" w14:textId="77777777" w:rsidTr="009A4B90">
        <w:trPr>
          <w:trHeight w:val="300"/>
        </w:trPr>
        <w:tc>
          <w:tcPr>
            <w:tcW w:w="889" w:type="dxa"/>
            <w:shd w:val="clear" w:color="auto" w:fill="auto"/>
            <w:noWrap/>
            <w:vAlign w:val="center"/>
            <w:hideMark/>
          </w:tcPr>
          <w:p w14:paraId="0CD6290A"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w:t>
            </w:r>
          </w:p>
        </w:tc>
        <w:tc>
          <w:tcPr>
            <w:tcW w:w="3897" w:type="dxa"/>
            <w:shd w:val="clear" w:color="auto" w:fill="auto"/>
            <w:vAlign w:val="center"/>
            <w:hideMark/>
          </w:tcPr>
          <w:p w14:paraId="0EF10DC6"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poslovanja</w:t>
            </w:r>
          </w:p>
        </w:tc>
        <w:tc>
          <w:tcPr>
            <w:tcW w:w="1701" w:type="dxa"/>
            <w:shd w:val="clear" w:color="auto" w:fill="auto"/>
            <w:noWrap/>
            <w:vAlign w:val="center"/>
            <w:hideMark/>
          </w:tcPr>
          <w:p w14:paraId="50AA0DB1" w14:textId="7F83FB7A" w:rsidR="00FA1939" w:rsidRPr="009A4B90" w:rsidRDefault="00FA1939" w:rsidP="009A4B90">
            <w:pPr>
              <w:rPr>
                <w:b/>
                <w:bCs/>
                <w:i/>
                <w:iCs/>
                <w:color w:val="000000"/>
                <w:sz w:val="20"/>
                <w:szCs w:val="20"/>
                <w:lang w:val="hr-HR"/>
              </w:rPr>
            </w:pPr>
            <w:r w:rsidRPr="009A4B90">
              <w:rPr>
                <w:b/>
                <w:bCs/>
                <w:i/>
                <w:iCs/>
                <w:color w:val="000000"/>
                <w:sz w:val="20"/>
                <w:szCs w:val="20"/>
                <w:lang w:val="hr-HR"/>
              </w:rPr>
              <w:t xml:space="preserve">     1.</w:t>
            </w:r>
            <w:r w:rsidR="000B019A">
              <w:rPr>
                <w:b/>
                <w:bCs/>
                <w:i/>
                <w:iCs/>
                <w:color w:val="000000"/>
                <w:sz w:val="20"/>
                <w:szCs w:val="20"/>
                <w:lang w:val="hr-HR"/>
              </w:rPr>
              <w:t>869.616,71</w:t>
            </w:r>
            <w:r w:rsidRPr="009A4B90">
              <w:rPr>
                <w:b/>
                <w:bCs/>
                <w:i/>
                <w:iCs/>
                <w:color w:val="000000"/>
                <w:sz w:val="20"/>
                <w:szCs w:val="20"/>
                <w:lang w:val="hr-HR"/>
              </w:rPr>
              <w:t xml:space="preserve"> €</w:t>
            </w:r>
          </w:p>
        </w:tc>
        <w:tc>
          <w:tcPr>
            <w:tcW w:w="1559" w:type="dxa"/>
            <w:shd w:val="clear" w:color="auto" w:fill="auto"/>
            <w:noWrap/>
            <w:vAlign w:val="center"/>
            <w:hideMark/>
          </w:tcPr>
          <w:p w14:paraId="26DC11F3" w14:textId="472B00DD" w:rsidR="00FA1939" w:rsidRPr="009A4B90" w:rsidRDefault="000B019A" w:rsidP="00FA1939">
            <w:pPr>
              <w:jc w:val="right"/>
              <w:rPr>
                <w:b/>
                <w:bCs/>
                <w:i/>
                <w:iCs/>
                <w:color w:val="000000"/>
                <w:sz w:val="20"/>
                <w:szCs w:val="20"/>
                <w:lang w:val="hr-HR"/>
              </w:rPr>
            </w:pPr>
            <w:r>
              <w:rPr>
                <w:b/>
                <w:bCs/>
                <w:i/>
                <w:iCs/>
                <w:color w:val="000000"/>
                <w:sz w:val="20"/>
                <w:szCs w:val="20"/>
                <w:lang w:val="hr-HR"/>
              </w:rPr>
              <w:t>2</w:t>
            </w:r>
            <w:r w:rsidR="00FA1939" w:rsidRPr="009A4B90">
              <w:rPr>
                <w:b/>
                <w:bCs/>
                <w:i/>
                <w:iCs/>
                <w:color w:val="000000"/>
                <w:sz w:val="20"/>
                <w:szCs w:val="20"/>
                <w:lang w:val="hr-HR"/>
              </w:rPr>
              <w:t>.</w:t>
            </w:r>
            <w:r>
              <w:rPr>
                <w:b/>
                <w:bCs/>
                <w:i/>
                <w:iCs/>
                <w:color w:val="000000"/>
                <w:sz w:val="20"/>
                <w:szCs w:val="20"/>
                <w:lang w:val="hr-HR"/>
              </w:rPr>
              <w:t>421</w:t>
            </w:r>
            <w:r w:rsidR="00FA1939" w:rsidRPr="009A4B90">
              <w:rPr>
                <w:b/>
                <w:bCs/>
                <w:i/>
                <w:iCs/>
                <w:color w:val="000000"/>
                <w:sz w:val="20"/>
                <w:szCs w:val="20"/>
                <w:lang w:val="hr-HR"/>
              </w:rPr>
              <w:t>.</w:t>
            </w:r>
            <w:r>
              <w:rPr>
                <w:b/>
                <w:bCs/>
                <w:i/>
                <w:iCs/>
                <w:color w:val="000000"/>
                <w:sz w:val="20"/>
                <w:szCs w:val="20"/>
                <w:lang w:val="hr-HR"/>
              </w:rPr>
              <w:t>854</w:t>
            </w:r>
            <w:r w:rsidR="00FA1939" w:rsidRPr="009A4B90">
              <w:rPr>
                <w:b/>
                <w:bCs/>
                <w:i/>
                <w:iCs/>
                <w:color w:val="000000"/>
                <w:sz w:val="20"/>
                <w:szCs w:val="20"/>
                <w:lang w:val="hr-HR"/>
              </w:rPr>
              <w:t>,</w:t>
            </w:r>
            <w:r>
              <w:rPr>
                <w:b/>
                <w:bCs/>
                <w:i/>
                <w:iCs/>
                <w:color w:val="000000"/>
                <w:sz w:val="20"/>
                <w:szCs w:val="20"/>
                <w:lang w:val="hr-HR"/>
              </w:rPr>
              <w:t>49</w:t>
            </w:r>
            <w:r w:rsidR="00FA1939" w:rsidRPr="009A4B90">
              <w:rPr>
                <w:b/>
                <w:bCs/>
                <w:i/>
                <w:iCs/>
                <w:color w:val="000000"/>
                <w:sz w:val="20"/>
                <w:szCs w:val="20"/>
                <w:lang w:val="hr-HR"/>
              </w:rPr>
              <w:t xml:space="preserve"> €</w:t>
            </w:r>
          </w:p>
        </w:tc>
        <w:tc>
          <w:tcPr>
            <w:tcW w:w="1134" w:type="dxa"/>
            <w:shd w:val="clear" w:color="000000" w:fill="FFFFFF"/>
            <w:noWrap/>
            <w:vAlign w:val="center"/>
            <w:hideMark/>
          </w:tcPr>
          <w:p w14:paraId="63A9582A" w14:textId="58FAD6BB"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0B019A">
              <w:rPr>
                <w:rFonts w:ascii="Calibri" w:hAnsi="Calibri" w:cs="Calibri"/>
                <w:color w:val="000000"/>
                <w:sz w:val="20"/>
                <w:szCs w:val="20"/>
                <w:lang w:val="hr-HR"/>
              </w:rPr>
              <w:t>30</w:t>
            </w:r>
          </w:p>
        </w:tc>
      </w:tr>
      <w:tr w:rsidR="00FA1939" w:rsidRPr="009A4B90" w14:paraId="0DCD3FC6" w14:textId="77777777" w:rsidTr="009A4B90">
        <w:trPr>
          <w:trHeight w:val="300"/>
        </w:trPr>
        <w:tc>
          <w:tcPr>
            <w:tcW w:w="889" w:type="dxa"/>
            <w:shd w:val="clear" w:color="auto" w:fill="auto"/>
            <w:noWrap/>
            <w:vAlign w:val="center"/>
            <w:hideMark/>
          </w:tcPr>
          <w:p w14:paraId="382BC5D7"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31</w:t>
            </w:r>
          </w:p>
        </w:tc>
        <w:tc>
          <w:tcPr>
            <w:tcW w:w="3897" w:type="dxa"/>
            <w:shd w:val="clear" w:color="auto" w:fill="auto"/>
            <w:vAlign w:val="center"/>
            <w:hideMark/>
          </w:tcPr>
          <w:p w14:paraId="02518DAB"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za zaposlene</w:t>
            </w:r>
          </w:p>
        </w:tc>
        <w:tc>
          <w:tcPr>
            <w:tcW w:w="1701" w:type="dxa"/>
            <w:shd w:val="clear" w:color="auto" w:fill="auto"/>
            <w:noWrap/>
            <w:vAlign w:val="center"/>
            <w:hideMark/>
          </w:tcPr>
          <w:p w14:paraId="0DB49451" w14:textId="4FB9363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w:t>
            </w:r>
            <w:r w:rsidR="000B019A">
              <w:rPr>
                <w:b/>
                <w:bCs/>
                <w:i/>
                <w:iCs/>
                <w:color w:val="000000"/>
                <w:sz w:val="20"/>
                <w:szCs w:val="20"/>
                <w:lang w:val="hr-HR"/>
              </w:rPr>
              <w:t>476.190,67</w:t>
            </w:r>
            <w:r w:rsidRPr="009A4B90">
              <w:rPr>
                <w:b/>
                <w:bCs/>
                <w:i/>
                <w:iCs/>
                <w:color w:val="000000"/>
                <w:sz w:val="20"/>
                <w:szCs w:val="20"/>
                <w:lang w:val="hr-HR"/>
              </w:rPr>
              <w:t xml:space="preserve"> €</w:t>
            </w:r>
          </w:p>
        </w:tc>
        <w:tc>
          <w:tcPr>
            <w:tcW w:w="1559" w:type="dxa"/>
            <w:shd w:val="clear" w:color="auto" w:fill="auto"/>
            <w:noWrap/>
            <w:vAlign w:val="center"/>
            <w:hideMark/>
          </w:tcPr>
          <w:p w14:paraId="63AAADEF" w14:textId="7382F575" w:rsidR="00FA1939" w:rsidRPr="009A4B90" w:rsidRDefault="000B019A" w:rsidP="00FA1939">
            <w:pPr>
              <w:jc w:val="right"/>
              <w:rPr>
                <w:b/>
                <w:bCs/>
                <w:i/>
                <w:iCs/>
                <w:color w:val="000000"/>
                <w:sz w:val="20"/>
                <w:szCs w:val="20"/>
                <w:lang w:val="hr-HR"/>
              </w:rPr>
            </w:pPr>
            <w:r>
              <w:rPr>
                <w:b/>
                <w:bCs/>
                <w:i/>
                <w:iCs/>
                <w:color w:val="000000"/>
                <w:sz w:val="20"/>
                <w:szCs w:val="20"/>
                <w:lang w:val="hr-HR"/>
              </w:rPr>
              <w:t>2</w:t>
            </w:r>
            <w:r w:rsidR="00FA1939" w:rsidRPr="009A4B90">
              <w:rPr>
                <w:b/>
                <w:bCs/>
                <w:i/>
                <w:iCs/>
                <w:color w:val="000000"/>
                <w:sz w:val="20"/>
                <w:szCs w:val="20"/>
                <w:lang w:val="hr-HR"/>
              </w:rPr>
              <w:t>.</w:t>
            </w:r>
            <w:r>
              <w:rPr>
                <w:b/>
                <w:bCs/>
                <w:i/>
                <w:iCs/>
                <w:color w:val="000000"/>
                <w:sz w:val="20"/>
                <w:szCs w:val="20"/>
                <w:lang w:val="hr-HR"/>
              </w:rPr>
              <w:t>022</w:t>
            </w:r>
            <w:r w:rsidR="00FA1939" w:rsidRPr="009A4B90">
              <w:rPr>
                <w:b/>
                <w:bCs/>
                <w:i/>
                <w:iCs/>
                <w:color w:val="000000"/>
                <w:sz w:val="20"/>
                <w:szCs w:val="20"/>
                <w:lang w:val="hr-HR"/>
              </w:rPr>
              <w:t>.</w:t>
            </w:r>
            <w:r>
              <w:rPr>
                <w:b/>
                <w:bCs/>
                <w:i/>
                <w:iCs/>
                <w:color w:val="000000"/>
                <w:sz w:val="20"/>
                <w:szCs w:val="20"/>
                <w:lang w:val="hr-HR"/>
              </w:rPr>
              <w:t>744</w:t>
            </w:r>
            <w:r w:rsidR="00FA1939" w:rsidRPr="009A4B90">
              <w:rPr>
                <w:b/>
                <w:bCs/>
                <w:i/>
                <w:iCs/>
                <w:color w:val="000000"/>
                <w:sz w:val="20"/>
                <w:szCs w:val="20"/>
                <w:lang w:val="hr-HR"/>
              </w:rPr>
              <w:t>,</w:t>
            </w:r>
            <w:r>
              <w:rPr>
                <w:b/>
                <w:bCs/>
                <w:i/>
                <w:iCs/>
                <w:color w:val="000000"/>
                <w:sz w:val="20"/>
                <w:szCs w:val="20"/>
                <w:lang w:val="hr-HR"/>
              </w:rPr>
              <w:t>76</w:t>
            </w:r>
            <w:r w:rsidR="00FA1939" w:rsidRPr="009A4B90">
              <w:rPr>
                <w:b/>
                <w:bCs/>
                <w:i/>
                <w:iCs/>
                <w:color w:val="000000"/>
                <w:sz w:val="20"/>
                <w:szCs w:val="20"/>
                <w:lang w:val="hr-HR"/>
              </w:rPr>
              <w:t xml:space="preserve"> €</w:t>
            </w:r>
          </w:p>
        </w:tc>
        <w:tc>
          <w:tcPr>
            <w:tcW w:w="1134" w:type="dxa"/>
            <w:shd w:val="clear" w:color="000000" w:fill="FFFFFF"/>
            <w:noWrap/>
            <w:vAlign w:val="center"/>
            <w:hideMark/>
          </w:tcPr>
          <w:p w14:paraId="25DF97BF" w14:textId="471D4B42"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0B019A">
              <w:rPr>
                <w:rFonts w:ascii="Calibri" w:hAnsi="Calibri" w:cs="Calibri"/>
                <w:color w:val="000000"/>
                <w:sz w:val="20"/>
                <w:szCs w:val="20"/>
                <w:lang w:val="hr-HR"/>
              </w:rPr>
              <w:t>37</w:t>
            </w:r>
          </w:p>
        </w:tc>
      </w:tr>
      <w:tr w:rsidR="00FA1939" w:rsidRPr="009A4B90" w14:paraId="125077BF" w14:textId="77777777" w:rsidTr="009A4B90">
        <w:trPr>
          <w:trHeight w:val="300"/>
        </w:trPr>
        <w:tc>
          <w:tcPr>
            <w:tcW w:w="889" w:type="dxa"/>
            <w:shd w:val="clear" w:color="auto" w:fill="auto"/>
            <w:noWrap/>
            <w:vAlign w:val="center"/>
            <w:hideMark/>
          </w:tcPr>
          <w:p w14:paraId="16144A0D" w14:textId="77777777" w:rsidR="00FA1939" w:rsidRPr="009A4B90" w:rsidRDefault="00FA1939" w:rsidP="00FA1939">
            <w:pPr>
              <w:jc w:val="center"/>
              <w:rPr>
                <w:color w:val="000000"/>
                <w:sz w:val="20"/>
                <w:szCs w:val="20"/>
                <w:lang w:val="hr-HR"/>
              </w:rPr>
            </w:pPr>
            <w:r w:rsidRPr="009A4B90">
              <w:rPr>
                <w:color w:val="000000"/>
                <w:sz w:val="20"/>
                <w:szCs w:val="20"/>
                <w:lang w:val="hr-HR"/>
              </w:rPr>
              <w:t>311</w:t>
            </w:r>
          </w:p>
        </w:tc>
        <w:tc>
          <w:tcPr>
            <w:tcW w:w="3897" w:type="dxa"/>
            <w:shd w:val="clear" w:color="auto" w:fill="auto"/>
            <w:vAlign w:val="center"/>
            <w:hideMark/>
          </w:tcPr>
          <w:p w14:paraId="23699444" w14:textId="77777777" w:rsidR="00FA1939" w:rsidRPr="009A4B90" w:rsidRDefault="00FA1939" w:rsidP="00FA1939">
            <w:pPr>
              <w:rPr>
                <w:i/>
                <w:iCs/>
                <w:color w:val="000000"/>
                <w:sz w:val="20"/>
                <w:szCs w:val="20"/>
                <w:lang w:val="hr-HR"/>
              </w:rPr>
            </w:pPr>
            <w:r w:rsidRPr="009A4B90">
              <w:rPr>
                <w:i/>
                <w:iCs/>
                <w:color w:val="000000"/>
                <w:sz w:val="20"/>
                <w:szCs w:val="20"/>
                <w:lang w:val="hr-HR"/>
              </w:rPr>
              <w:t>Plaće-bruto</w:t>
            </w:r>
          </w:p>
        </w:tc>
        <w:tc>
          <w:tcPr>
            <w:tcW w:w="1701" w:type="dxa"/>
            <w:shd w:val="clear" w:color="auto" w:fill="auto"/>
            <w:noWrap/>
            <w:vAlign w:val="center"/>
            <w:hideMark/>
          </w:tcPr>
          <w:p w14:paraId="2469A961" w14:textId="2BC52240" w:rsidR="00FA1939" w:rsidRPr="009A4B90" w:rsidRDefault="00FA1939" w:rsidP="00FA1939">
            <w:pPr>
              <w:jc w:val="right"/>
              <w:rPr>
                <w:i/>
                <w:iCs/>
                <w:color w:val="000000"/>
                <w:sz w:val="20"/>
                <w:szCs w:val="20"/>
                <w:lang w:val="hr-HR"/>
              </w:rPr>
            </w:pPr>
            <w:r w:rsidRPr="009A4B90">
              <w:rPr>
                <w:i/>
                <w:iCs/>
                <w:color w:val="000000"/>
                <w:sz w:val="20"/>
                <w:szCs w:val="20"/>
                <w:lang w:val="hr-HR"/>
              </w:rPr>
              <w:t>1.1</w:t>
            </w:r>
            <w:r w:rsidR="000B019A">
              <w:rPr>
                <w:i/>
                <w:iCs/>
                <w:color w:val="000000"/>
                <w:sz w:val="20"/>
                <w:szCs w:val="20"/>
                <w:lang w:val="hr-HR"/>
              </w:rPr>
              <w:t>95</w:t>
            </w:r>
            <w:r w:rsidRPr="009A4B90">
              <w:rPr>
                <w:i/>
                <w:iCs/>
                <w:color w:val="000000"/>
                <w:sz w:val="20"/>
                <w:szCs w:val="20"/>
                <w:lang w:val="hr-HR"/>
              </w:rPr>
              <w:t>.</w:t>
            </w:r>
            <w:r w:rsidR="000B019A">
              <w:rPr>
                <w:i/>
                <w:iCs/>
                <w:color w:val="000000"/>
                <w:sz w:val="20"/>
                <w:szCs w:val="20"/>
                <w:lang w:val="hr-HR"/>
              </w:rPr>
              <w:t>409</w:t>
            </w:r>
            <w:r w:rsidRPr="009A4B90">
              <w:rPr>
                <w:i/>
                <w:iCs/>
                <w:color w:val="000000"/>
                <w:sz w:val="20"/>
                <w:szCs w:val="20"/>
                <w:lang w:val="hr-HR"/>
              </w:rPr>
              <w:t>,</w:t>
            </w:r>
            <w:r w:rsidR="000B019A">
              <w:rPr>
                <w:i/>
                <w:iCs/>
                <w:color w:val="000000"/>
                <w:sz w:val="20"/>
                <w:szCs w:val="20"/>
                <w:lang w:val="hr-HR"/>
              </w:rPr>
              <w:t>35</w:t>
            </w:r>
            <w:r w:rsidRPr="009A4B90">
              <w:rPr>
                <w:i/>
                <w:iCs/>
                <w:color w:val="000000"/>
                <w:sz w:val="20"/>
                <w:szCs w:val="20"/>
                <w:lang w:val="hr-HR"/>
              </w:rPr>
              <w:t xml:space="preserve"> €</w:t>
            </w:r>
          </w:p>
        </w:tc>
        <w:tc>
          <w:tcPr>
            <w:tcW w:w="1559" w:type="dxa"/>
            <w:shd w:val="clear" w:color="auto" w:fill="auto"/>
            <w:noWrap/>
            <w:vAlign w:val="center"/>
            <w:hideMark/>
          </w:tcPr>
          <w:p w14:paraId="0493BC51" w14:textId="4C8E2B2F" w:rsidR="00FA1939" w:rsidRPr="009A4B90" w:rsidRDefault="00FA1939" w:rsidP="00FA1939">
            <w:pPr>
              <w:jc w:val="right"/>
              <w:rPr>
                <w:i/>
                <w:iCs/>
                <w:color w:val="000000"/>
                <w:sz w:val="20"/>
                <w:szCs w:val="20"/>
                <w:lang w:val="hr-HR"/>
              </w:rPr>
            </w:pPr>
            <w:r w:rsidRPr="009A4B90">
              <w:rPr>
                <w:i/>
                <w:iCs/>
                <w:color w:val="000000"/>
                <w:sz w:val="20"/>
                <w:szCs w:val="20"/>
                <w:lang w:val="hr-HR"/>
              </w:rPr>
              <w:t>1.</w:t>
            </w:r>
            <w:r w:rsidR="000B019A">
              <w:rPr>
                <w:i/>
                <w:iCs/>
                <w:color w:val="000000"/>
                <w:sz w:val="20"/>
                <w:szCs w:val="20"/>
                <w:lang w:val="hr-HR"/>
              </w:rPr>
              <w:t>668.079,79</w:t>
            </w:r>
            <w:r w:rsidRPr="009A4B90">
              <w:rPr>
                <w:i/>
                <w:iCs/>
                <w:color w:val="000000"/>
                <w:sz w:val="20"/>
                <w:szCs w:val="20"/>
                <w:lang w:val="hr-HR"/>
              </w:rPr>
              <w:t xml:space="preserve"> €</w:t>
            </w:r>
          </w:p>
        </w:tc>
        <w:tc>
          <w:tcPr>
            <w:tcW w:w="1134" w:type="dxa"/>
            <w:shd w:val="clear" w:color="000000" w:fill="FFFFFF"/>
            <w:noWrap/>
            <w:vAlign w:val="center"/>
            <w:hideMark/>
          </w:tcPr>
          <w:p w14:paraId="32AC2D3E" w14:textId="34E27FA2"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0B019A">
              <w:rPr>
                <w:rFonts w:ascii="Calibri" w:hAnsi="Calibri" w:cs="Calibri"/>
                <w:color w:val="000000"/>
                <w:sz w:val="20"/>
                <w:szCs w:val="20"/>
                <w:lang w:val="hr-HR"/>
              </w:rPr>
              <w:t>40</w:t>
            </w:r>
          </w:p>
        </w:tc>
      </w:tr>
      <w:tr w:rsidR="00FA1939" w:rsidRPr="009A4B90" w14:paraId="09C78ABF" w14:textId="77777777" w:rsidTr="009A4B90">
        <w:trPr>
          <w:trHeight w:val="300"/>
        </w:trPr>
        <w:tc>
          <w:tcPr>
            <w:tcW w:w="889" w:type="dxa"/>
            <w:shd w:val="clear" w:color="auto" w:fill="auto"/>
            <w:noWrap/>
            <w:vAlign w:val="center"/>
            <w:hideMark/>
          </w:tcPr>
          <w:p w14:paraId="340E9428" w14:textId="77777777" w:rsidR="00FA1939" w:rsidRPr="009A4B90" w:rsidRDefault="00FA1939" w:rsidP="00FA1939">
            <w:pPr>
              <w:jc w:val="center"/>
              <w:rPr>
                <w:color w:val="000000"/>
                <w:sz w:val="20"/>
                <w:szCs w:val="20"/>
                <w:lang w:val="hr-HR"/>
              </w:rPr>
            </w:pPr>
            <w:r w:rsidRPr="009A4B90">
              <w:rPr>
                <w:color w:val="000000"/>
                <w:sz w:val="20"/>
                <w:szCs w:val="20"/>
                <w:lang w:val="hr-HR"/>
              </w:rPr>
              <w:t>312</w:t>
            </w:r>
          </w:p>
        </w:tc>
        <w:tc>
          <w:tcPr>
            <w:tcW w:w="3897" w:type="dxa"/>
            <w:shd w:val="clear" w:color="auto" w:fill="auto"/>
            <w:vAlign w:val="center"/>
            <w:hideMark/>
          </w:tcPr>
          <w:p w14:paraId="2E569E18" w14:textId="77777777" w:rsidR="00FA1939" w:rsidRPr="009A4B90" w:rsidRDefault="00FA1939" w:rsidP="00FA1939">
            <w:pPr>
              <w:rPr>
                <w:i/>
                <w:iCs/>
                <w:color w:val="000000"/>
                <w:sz w:val="20"/>
                <w:szCs w:val="20"/>
                <w:lang w:val="hr-HR"/>
              </w:rPr>
            </w:pPr>
            <w:r w:rsidRPr="009A4B90">
              <w:rPr>
                <w:i/>
                <w:iCs/>
                <w:color w:val="000000"/>
                <w:sz w:val="20"/>
                <w:szCs w:val="20"/>
                <w:lang w:val="hr-HR"/>
              </w:rPr>
              <w:t>Ostali  rashodi za zaposlene</w:t>
            </w:r>
          </w:p>
        </w:tc>
        <w:tc>
          <w:tcPr>
            <w:tcW w:w="1701" w:type="dxa"/>
            <w:shd w:val="clear" w:color="auto" w:fill="auto"/>
            <w:noWrap/>
            <w:vAlign w:val="center"/>
            <w:hideMark/>
          </w:tcPr>
          <w:p w14:paraId="4BFBD735" w14:textId="2A1C2EA4" w:rsidR="00FA1939" w:rsidRPr="009A4B90" w:rsidRDefault="000B019A" w:rsidP="00FA1939">
            <w:pPr>
              <w:jc w:val="right"/>
              <w:rPr>
                <w:i/>
                <w:iCs/>
                <w:color w:val="000000"/>
                <w:sz w:val="20"/>
                <w:szCs w:val="20"/>
                <w:lang w:val="hr-HR"/>
              </w:rPr>
            </w:pPr>
            <w:r>
              <w:rPr>
                <w:i/>
                <w:iCs/>
                <w:color w:val="000000"/>
                <w:sz w:val="20"/>
                <w:szCs w:val="20"/>
                <w:lang w:val="hr-HR"/>
              </w:rPr>
              <w:t>99</w:t>
            </w:r>
            <w:r w:rsidR="00FA1939" w:rsidRPr="009A4B90">
              <w:rPr>
                <w:i/>
                <w:iCs/>
                <w:color w:val="000000"/>
                <w:sz w:val="20"/>
                <w:szCs w:val="20"/>
                <w:lang w:val="hr-HR"/>
              </w:rPr>
              <w:t>.</w:t>
            </w:r>
            <w:r>
              <w:rPr>
                <w:i/>
                <w:iCs/>
                <w:color w:val="000000"/>
                <w:sz w:val="20"/>
                <w:szCs w:val="20"/>
                <w:lang w:val="hr-HR"/>
              </w:rPr>
              <w:t>661</w:t>
            </w:r>
            <w:r w:rsidR="00FA1939" w:rsidRPr="009A4B90">
              <w:rPr>
                <w:i/>
                <w:iCs/>
                <w:color w:val="000000"/>
                <w:sz w:val="20"/>
                <w:szCs w:val="20"/>
                <w:lang w:val="hr-HR"/>
              </w:rPr>
              <w:t>,</w:t>
            </w:r>
            <w:r>
              <w:rPr>
                <w:i/>
                <w:iCs/>
                <w:color w:val="000000"/>
                <w:sz w:val="20"/>
                <w:szCs w:val="20"/>
                <w:lang w:val="hr-HR"/>
              </w:rPr>
              <w:t>98</w:t>
            </w:r>
            <w:r w:rsidR="00FA1939" w:rsidRPr="009A4B90">
              <w:rPr>
                <w:i/>
                <w:iCs/>
                <w:color w:val="000000"/>
                <w:sz w:val="20"/>
                <w:szCs w:val="20"/>
                <w:lang w:val="hr-HR"/>
              </w:rPr>
              <w:t xml:space="preserve"> €</w:t>
            </w:r>
          </w:p>
        </w:tc>
        <w:tc>
          <w:tcPr>
            <w:tcW w:w="1559" w:type="dxa"/>
            <w:shd w:val="clear" w:color="auto" w:fill="auto"/>
            <w:noWrap/>
            <w:vAlign w:val="center"/>
            <w:hideMark/>
          </w:tcPr>
          <w:p w14:paraId="177BF9F4" w14:textId="50DB7CD1" w:rsidR="00FA1939" w:rsidRPr="009A4B90" w:rsidRDefault="000B019A" w:rsidP="00FA1939">
            <w:pPr>
              <w:jc w:val="right"/>
              <w:rPr>
                <w:i/>
                <w:iCs/>
                <w:color w:val="000000"/>
                <w:sz w:val="20"/>
                <w:szCs w:val="20"/>
                <w:lang w:val="hr-HR"/>
              </w:rPr>
            </w:pPr>
            <w:r>
              <w:rPr>
                <w:i/>
                <w:iCs/>
                <w:color w:val="000000"/>
                <w:sz w:val="20"/>
                <w:szCs w:val="20"/>
                <w:lang w:val="hr-HR"/>
              </w:rPr>
              <w:t>103</w:t>
            </w:r>
            <w:r w:rsidR="00FA1939" w:rsidRPr="009A4B90">
              <w:rPr>
                <w:i/>
                <w:iCs/>
                <w:color w:val="000000"/>
                <w:sz w:val="20"/>
                <w:szCs w:val="20"/>
                <w:lang w:val="hr-HR"/>
              </w:rPr>
              <w:t>.</w:t>
            </w:r>
            <w:r>
              <w:rPr>
                <w:i/>
                <w:iCs/>
                <w:color w:val="000000"/>
                <w:sz w:val="20"/>
                <w:szCs w:val="20"/>
                <w:lang w:val="hr-HR"/>
              </w:rPr>
              <w:t>170</w:t>
            </w:r>
            <w:r w:rsidR="00FA1939" w:rsidRPr="009A4B90">
              <w:rPr>
                <w:i/>
                <w:iCs/>
                <w:color w:val="000000"/>
                <w:sz w:val="20"/>
                <w:szCs w:val="20"/>
                <w:lang w:val="hr-HR"/>
              </w:rPr>
              <w:t>,</w:t>
            </w:r>
            <w:r>
              <w:rPr>
                <w:i/>
                <w:iCs/>
                <w:color w:val="000000"/>
                <w:sz w:val="20"/>
                <w:szCs w:val="20"/>
                <w:lang w:val="hr-HR"/>
              </w:rPr>
              <w:t>33</w:t>
            </w:r>
            <w:r w:rsidR="00FA1939" w:rsidRPr="009A4B90">
              <w:rPr>
                <w:i/>
                <w:iCs/>
                <w:color w:val="000000"/>
                <w:sz w:val="20"/>
                <w:szCs w:val="20"/>
                <w:lang w:val="hr-HR"/>
              </w:rPr>
              <w:t xml:space="preserve"> €</w:t>
            </w:r>
          </w:p>
        </w:tc>
        <w:tc>
          <w:tcPr>
            <w:tcW w:w="1134" w:type="dxa"/>
            <w:shd w:val="clear" w:color="000000" w:fill="FFFFFF"/>
            <w:noWrap/>
            <w:vAlign w:val="center"/>
            <w:hideMark/>
          </w:tcPr>
          <w:p w14:paraId="0A30B61F" w14:textId="2D0BA7A4" w:rsidR="00FA1939" w:rsidRPr="009A4B90" w:rsidRDefault="000B019A" w:rsidP="00FA1939">
            <w:pPr>
              <w:jc w:val="center"/>
              <w:rPr>
                <w:rFonts w:ascii="Calibri" w:hAnsi="Calibri" w:cs="Calibri"/>
                <w:color w:val="000000"/>
                <w:sz w:val="20"/>
                <w:szCs w:val="20"/>
                <w:lang w:val="hr-HR"/>
              </w:rPr>
            </w:pPr>
            <w:r>
              <w:rPr>
                <w:rFonts w:ascii="Calibri" w:hAnsi="Calibri" w:cs="Calibri"/>
                <w:color w:val="000000"/>
                <w:sz w:val="20"/>
                <w:szCs w:val="20"/>
                <w:lang w:val="hr-HR"/>
              </w:rPr>
              <w:t>104</w:t>
            </w:r>
          </w:p>
        </w:tc>
      </w:tr>
      <w:tr w:rsidR="00FA1939" w:rsidRPr="009A4B90" w14:paraId="5B9C99F1" w14:textId="77777777" w:rsidTr="009A4B90">
        <w:trPr>
          <w:trHeight w:val="300"/>
        </w:trPr>
        <w:tc>
          <w:tcPr>
            <w:tcW w:w="889" w:type="dxa"/>
            <w:shd w:val="clear" w:color="auto" w:fill="auto"/>
            <w:noWrap/>
            <w:vAlign w:val="center"/>
            <w:hideMark/>
          </w:tcPr>
          <w:p w14:paraId="47227FCD" w14:textId="77777777" w:rsidR="00FA1939" w:rsidRPr="009A4B90" w:rsidRDefault="00FA1939" w:rsidP="00FA1939">
            <w:pPr>
              <w:jc w:val="center"/>
              <w:rPr>
                <w:color w:val="000000"/>
                <w:sz w:val="20"/>
                <w:szCs w:val="20"/>
                <w:lang w:val="hr-HR"/>
              </w:rPr>
            </w:pPr>
            <w:r w:rsidRPr="009A4B90">
              <w:rPr>
                <w:color w:val="000000"/>
                <w:sz w:val="20"/>
                <w:szCs w:val="20"/>
                <w:lang w:val="hr-HR"/>
              </w:rPr>
              <w:t>313</w:t>
            </w:r>
          </w:p>
        </w:tc>
        <w:tc>
          <w:tcPr>
            <w:tcW w:w="3897" w:type="dxa"/>
            <w:shd w:val="clear" w:color="auto" w:fill="auto"/>
            <w:vAlign w:val="center"/>
            <w:hideMark/>
          </w:tcPr>
          <w:p w14:paraId="118DC114" w14:textId="77777777" w:rsidR="00FA1939" w:rsidRPr="009A4B90" w:rsidRDefault="00FA1939" w:rsidP="00FA1939">
            <w:pPr>
              <w:rPr>
                <w:i/>
                <w:iCs/>
                <w:color w:val="000000"/>
                <w:sz w:val="20"/>
                <w:szCs w:val="20"/>
                <w:lang w:val="hr-HR"/>
              </w:rPr>
            </w:pPr>
            <w:r w:rsidRPr="009A4B90">
              <w:rPr>
                <w:i/>
                <w:iCs/>
                <w:color w:val="000000"/>
                <w:sz w:val="20"/>
                <w:szCs w:val="20"/>
                <w:lang w:val="hr-HR"/>
              </w:rPr>
              <w:t>Doprinosi na plaću</w:t>
            </w:r>
          </w:p>
        </w:tc>
        <w:tc>
          <w:tcPr>
            <w:tcW w:w="1701" w:type="dxa"/>
            <w:shd w:val="clear" w:color="auto" w:fill="auto"/>
            <w:noWrap/>
            <w:vAlign w:val="center"/>
            <w:hideMark/>
          </w:tcPr>
          <w:p w14:paraId="0634DB6F" w14:textId="1A3D347D" w:rsidR="00FA1939" w:rsidRPr="009A4B90" w:rsidRDefault="00FA1939" w:rsidP="00FA1939">
            <w:pPr>
              <w:jc w:val="right"/>
              <w:rPr>
                <w:i/>
                <w:iCs/>
                <w:color w:val="000000"/>
                <w:sz w:val="20"/>
                <w:szCs w:val="20"/>
                <w:lang w:val="hr-HR"/>
              </w:rPr>
            </w:pPr>
            <w:r w:rsidRPr="009A4B90">
              <w:rPr>
                <w:i/>
                <w:iCs/>
                <w:color w:val="000000"/>
                <w:sz w:val="20"/>
                <w:szCs w:val="20"/>
                <w:lang w:val="hr-HR"/>
              </w:rPr>
              <w:t>1</w:t>
            </w:r>
            <w:r w:rsidR="000B019A">
              <w:rPr>
                <w:i/>
                <w:iCs/>
                <w:color w:val="000000"/>
                <w:sz w:val="20"/>
                <w:szCs w:val="20"/>
                <w:lang w:val="hr-HR"/>
              </w:rPr>
              <w:t>81</w:t>
            </w:r>
            <w:r w:rsidRPr="009A4B90">
              <w:rPr>
                <w:i/>
                <w:iCs/>
                <w:color w:val="000000"/>
                <w:sz w:val="20"/>
                <w:szCs w:val="20"/>
                <w:lang w:val="hr-HR"/>
              </w:rPr>
              <w:t>.</w:t>
            </w:r>
            <w:r w:rsidR="000B019A">
              <w:rPr>
                <w:i/>
                <w:iCs/>
                <w:color w:val="000000"/>
                <w:sz w:val="20"/>
                <w:szCs w:val="20"/>
                <w:lang w:val="hr-HR"/>
              </w:rPr>
              <w:t>119</w:t>
            </w:r>
            <w:r w:rsidRPr="009A4B90">
              <w:rPr>
                <w:i/>
                <w:iCs/>
                <w:color w:val="000000"/>
                <w:sz w:val="20"/>
                <w:szCs w:val="20"/>
                <w:lang w:val="hr-HR"/>
              </w:rPr>
              <w:t>,</w:t>
            </w:r>
            <w:r w:rsidR="000B019A">
              <w:rPr>
                <w:i/>
                <w:iCs/>
                <w:color w:val="000000"/>
                <w:sz w:val="20"/>
                <w:szCs w:val="20"/>
                <w:lang w:val="hr-HR"/>
              </w:rPr>
              <w:t>34</w:t>
            </w:r>
            <w:r w:rsidRPr="009A4B90">
              <w:rPr>
                <w:i/>
                <w:iCs/>
                <w:color w:val="000000"/>
                <w:sz w:val="20"/>
                <w:szCs w:val="20"/>
                <w:lang w:val="hr-HR"/>
              </w:rPr>
              <w:t xml:space="preserve"> €</w:t>
            </w:r>
          </w:p>
        </w:tc>
        <w:tc>
          <w:tcPr>
            <w:tcW w:w="1559" w:type="dxa"/>
            <w:shd w:val="clear" w:color="auto" w:fill="auto"/>
            <w:noWrap/>
            <w:vAlign w:val="center"/>
            <w:hideMark/>
          </w:tcPr>
          <w:p w14:paraId="34D2E985" w14:textId="5C10AB50" w:rsidR="00FA1939" w:rsidRPr="009A4B90" w:rsidRDefault="000B019A" w:rsidP="00FA1939">
            <w:pPr>
              <w:jc w:val="right"/>
              <w:rPr>
                <w:i/>
                <w:iCs/>
                <w:color w:val="000000"/>
                <w:sz w:val="20"/>
                <w:szCs w:val="20"/>
                <w:lang w:val="hr-HR"/>
              </w:rPr>
            </w:pPr>
            <w:r>
              <w:rPr>
                <w:i/>
                <w:iCs/>
                <w:color w:val="000000"/>
                <w:sz w:val="20"/>
                <w:szCs w:val="20"/>
                <w:lang w:val="hr-HR"/>
              </w:rPr>
              <w:t>251</w:t>
            </w:r>
            <w:r w:rsidR="00FA1939" w:rsidRPr="009A4B90">
              <w:rPr>
                <w:i/>
                <w:iCs/>
                <w:color w:val="000000"/>
                <w:sz w:val="20"/>
                <w:szCs w:val="20"/>
                <w:lang w:val="hr-HR"/>
              </w:rPr>
              <w:t>.</w:t>
            </w:r>
            <w:r>
              <w:rPr>
                <w:i/>
                <w:iCs/>
                <w:color w:val="000000"/>
                <w:sz w:val="20"/>
                <w:szCs w:val="20"/>
                <w:lang w:val="hr-HR"/>
              </w:rPr>
              <w:t>494</w:t>
            </w:r>
            <w:r w:rsidR="00FA1939" w:rsidRPr="009A4B90">
              <w:rPr>
                <w:i/>
                <w:iCs/>
                <w:color w:val="000000"/>
                <w:sz w:val="20"/>
                <w:szCs w:val="20"/>
                <w:lang w:val="hr-HR"/>
              </w:rPr>
              <w:t>,</w:t>
            </w:r>
            <w:r>
              <w:rPr>
                <w:i/>
                <w:iCs/>
                <w:color w:val="000000"/>
                <w:sz w:val="20"/>
                <w:szCs w:val="20"/>
                <w:lang w:val="hr-HR"/>
              </w:rPr>
              <w:t>6</w:t>
            </w:r>
            <w:r w:rsidR="00FA1939" w:rsidRPr="009A4B90">
              <w:rPr>
                <w:i/>
                <w:iCs/>
                <w:color w:val="000000"/>
                <w:sz w:val="20"/>
                <w:szCs w:val="20"/>
                <w:lang w:val="hr-HR"/>
              </w:rPr>
              <w:t>4 €</w:t>
            </w:r>
          </w:p>
        </w:tc>
        <w:tc>
          <w:tcPr>
            <w:tcW w:w="1134" w:type="dxa"/>
            <w:shd w:val="clear" w:color="000000" w:fill="FFFFFF"/>
            <w:noWrap/>
            <w:vAlign w:val="center"/>
            <w:hideMark/>
          </w:tcPr>
          <w:p w14:paraId="1A557600" w14:textId="4B3696AB"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0B019A">
              <w:rPr>
                <w:rFonts w:ascii="Calibri" w:hAnsi="Calibri" w:cs="Calibri"/>
                <w:color w:val="000000"/>
                <w:sz w:val="20"/>
                <w:szCs w:val="20"/>
                <w:lang w:val="hr-HR"/>
              </w:rPr>
              <w:t>39</w:t>
            </w:r>
          </w:p>
        </w:tc>
      </w:tr>
      <w:tr w:rsidR="00FA1939" w:rsidRPr="009A4B90" w14:paraId="63219881" w14:textId="77777777" w:rsidTr="009A4B90">
        <w:trPr>
          <w:trHeight w:val="300"/>
        </w:trPr>
        <w:tc>
          <w:tcPr>
            <w:tcW w:w="889" w:type="dxa"/>
            <w:shd w:val="clear" w:color="auto" w:fill="auto"/>
            <w:noWrap/>
            <w:vAlign w:val="center"/>
            <w:hideMark/>
          </w:tcPr>
          <w:p w14:paraId="21CA9861"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32</w:t>
            </w:r>
          </w:p>
        </w:tc>
        <w:tc>
          <w:tcPr>
            <w:tcW w:w="3897" w:type="dxa"/>
            <w:shd w:val="clear" w:color="auto" w:fill="auto"/>
            <w:vAlign w:val="center"/>
            <w:hideMark/>
          </w:tcPr>
          <w:p w14:paraId="7444954E"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Materijalni rashodi</w:t>
            </w:r>
          </w:p>
        </w:tc>
        <w:tc>
          <w:tcPr>
            <w:tcW w:w="1701" w:type="dxa"/>
            <w:shd w:val="clear" w:color="auto" w:fill="auto"/>
            <w:noWrap/>
            <w:vAlign w:val="center"/>
            <w:hideMark/>
          </w:tcPr>
          <w:p w14:paraId="0620C9E6" w14:textId="5C06FCCC"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3</w:t>
            </w:r>
            <w:r w:rsidR="000B019A">
              <w:rPr>
                <w:b/>
                <w:bCs/>
                <w:i/>
                <w:iCs/>
                <w:color w:val="000000"/>
                <w:sz w:val="20"/>
                <w:szCs w:val="20"/>
                <w:lang w:val="hr-HR"/>
              </w:rPr>
              <w:t>90</w:t>
            </w:r>
            <w:r w:rsidRPr="009A4B90">
              <w:rPr>
                <w:b/>
                <w:bCs/>
                <w:i/>
                <w:iCs/>
                <w:color w:val="000000"/>
                <w:sz w:val="20"/>
                <w:szCs w:val="20"/>
                <w:lang w:val="hr-HR"/>
              </w:rPr>
              <w:t>.</w:t>
            </w:r>
            <w:r w:rsidR="000B019A">
              <w:rPr>
                <w:b/>
                <w:bCs/>
                <w:i/>
                <w:iCs/>
                <w:color w:val="000000"/>
                <w:sz w:val="20"/>
                <w:szCs w:val="20"/>
                <w:lang w:val="hr-HR"/>
              </w:rPr>
              <w:t>777</w:t>
            </w:r>
            <w:r w:rsidRPr="009A4B90">
              <w:rPr>
                <w:b/>
                <w:bCs/>
                <w:i/>
                <w:iCs/>
                <w:color w:val="000000"/>
                <w:sz w:val="20"/>
                <w:szCs w:val="20"/>
                <w:lang w:val="hr-HR"/>
              </w:rPr>
              <w:t>,</w:t>
            </w:r>
            <w:r w:rsidR="000B019A">
              <w:rPr>
                <w:b/>
                <w:bCs/>
                <w:i/>
                <w:iCs/>
                <w:color w:val="000000"/>
                <w:sz w:val="20"/>
                <w:szCs w:val="20"/>
                <w:lang w:val="hr-HR"/>
              </w:rPr>
              <w:t>91</w:t>
            </w:r>
            <w:r w:rsidRPr="009A4B90">
              <w:rPr>
                <w:b/>
                <w:bCs/>
                <w:i/>
                <w:iCs/>
                <w:color w:val="000000"/>
                <w:sz w:val="20"/>
                <w:szCs w:val="20"/>
                <w:lang w:val="hr-HR"/>
              </w:rPr>
              <w:t xml:space="preserve"> €</w:t>
            </w:r>
          </w:p>
        </w:tc>
        <w:tc>
          <w:tcPr>
            <w:tcW w:w="1559" w:type="dxa"/>
            <w:shd w:val="clear" w:color="auto" w:fill="auto"/>
            <w:noWrap/>
            <w:vAlign w:val="center"/>
            <w:hideMark/>
          </w:tcPr>
          <w:p w14:paraId="32EE3A12" w14:textId="5076C2EC"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39</w:t>
            </w:r>
            <w:r w:rsidR="000B019A">
              <w:rPr>
                <w:b/>
                <w:bCs/>
                <w:i/>
                <w:iCs/>
                <w:color w:val="000000"/>
                <w:sz w:val="20"/>
                <w:szCs w:val="20"/>
                <w:lang w:val="hr-HR"/>
              </w:rPr>
              <w:t>6</w:t>
            </w:r>
            <w:r w:rsidRPr="009A4B90">
              <w:rPr>
                <w:b/>
                <w:bCs/>
                <w:i/>
                <w:iCs/>
                <w:color w:val="000000"/>
                <w:sz w:val="20"/>
                <w:szCs w:val="20"/>
                <w:lang w:val="hr-HR"/>
              </w:rPr>
              <w:t>.</w:t>
            </w:r>
            <w:r w:rsidR="000B019A">
              <w:rPr>
                <w:b/>
                <w:bCs/>
                <w:i/>
                <w:iCs/>
                <w:color w:val="000000"/>
                <w:sz w:val="20"/>
                <w:szCs w:val="20"/>
                <w:lang w:val="hr-HR"/>
              </w:rPr>
              <w:t>793</w:t>
            </w:r>
            <w:r w:rsidRPr="009A4B90">
              <w:rPr>
                <w:b/>
                <w:bCs/>
                <w:i/>
                <w:iCs/>
                <w:color w:val="000000"/>
                <w:sz w:val="20"/>
                <w:szCs w:val="20"/>
                <w:lang w:val="hr-HR"/>
              </w:rPr>
              <w:t>,</w:t>
            </w:r>
            <w:r w:rsidR="000B019A">
              <w:rPr>
                <w:b/>
                <w:bCs/>
                <w:i/>
                <w:iCs/>
                <w:color w:val="000000"/>
                <w:sz w:val="20"/>
                <w:szCs w:val="20"/>
                <w:lang w:val="hr-HR"/>
              </w:rPr>
              <w:t>80</w:t>
            </w:r>
            <w:r w:rsidRPr="009A4B90">
              <w:rPr>
                <w:b/>
                <w:bCs/>
                <w:i/>
                <w:iCs/>
                <w:color w:val="000000"/>
                <w:sz w:val="20"/>
                <w:szCs w:val="20"/>
                <w:lang w:val="hr-HR"/>
              </w:rPr>
              <w:t xml:space="preserve"> €</w:t>
            </w:r>
          </w:p>
        </w:tc>
        <w:tc>
          <w:tcPr>
            <w:tcW w:w="1134" w:type="dxa"/>
            <w:shd w:val="clear" w:color="000000" w:fill="FFFFFF"/>
            <w:noWrap/>
            <w:vAlign w:val="center"/>
            <w:hideMark/>
          </w:tcPr>
          <w:p w14:paraId="7836A33F" w14:textId="3F42E3CE"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10</w:t>
            </w:r>
            <w:r w:rsidR="000B019A">
              <w:rPr>
                <w:rFonts w:ascii="Calibri" w:hAnsi="Calibri" w:cs="Calibri"/>
                <w:color w:val="000000"/>
                <w:sz w:val="20"/>
                <w:szCs w:val="20"/>
                <w:lang w:val="hr-HR"/>
              </w:rPr>
              <w:t>2</w:t>
            </w:r>
          </w:p>
        </w:tc>
      </w:tr>
      <w:tr w:rsidR="00FA1939" w:rsidRPr="009A4B90" w14:paraId="222C4559" w14:textId="77777777" w:rsidTr="009A4B90">
        <w:trPr>
          <w:trHeight w:val="300"/>
        </w:trPr>
        <w:tc>
          <w:tcPr>
            <w:tcW w:w="889" w:type="dxa"/>
            <w:shd w:val="clear" w:color="auto" w:fill="auto"/>
            <w:noWrap/>
            <w:vAlign w:val="center"/>
            <w:hideMark/>
          </w:tcPr>
          <w:p w14:paraId="1AE46701" w14:textId="77777777" w:rsidR="00FA1939" w:rsidRPr="009A4B90" w:rsidRDefault="00FA1939" w:rsidP="00FA1939">
            <w:pPr>
              <w:jc w:val="center"/>
              <w:rPr>
                <w:color w:val="000000"/>
                <w:sz w:val="20"/>
                <w:szCs w:val="20"/>
                <w:lang w:val="hr-HR"/>
              </w:rPr>
            </w:pPr>
            <w:r w:rsidRPr="009A4B90">
              <w:rPr>
                <w:color w:val="000000"/>
                <w:sz w:val="20"/>
                <w:szCs w:val="20"/>
                <w:lang w:val="hr-HR"/>
              </w:rPr>
              <w:t>321</w:t>
            </w:r>
          </w:p>
        </w:tc>
        <w:tc>
          <w:tcPr>
            <w:tcW w:w="3897" w:type="dxa"/>
            <w:shd w:val="clear" w:color="auto" w:fill="auto"/>
            <w:vAlign w:val="center"/>
            <w:hideMark/>
          </w:tcPr>
          <w:p w14:paraId="4750588C" w14:textId="77777777" w:rsidR="00FA1939" w:rsidRPr="009A4B90" w:rsidRDefault="00FA1939" w:rsidP="00FA1939">
            <w:pPr>
              <w:rPr>
                <w:color w:val="000000"/>
                <w:sz w:val="20"/>
                <w:szCs w:val="20"/>
                <w:lang w:val="hr-HR"/>
              </w:rPr>
            </w:pPr>
            <w:r w:rsidRPr="009A4B90">
              <w:rPr>
                <w:color w:val="000000"/>
                <w:sz w:val="20"/>
                <w:szCs w:val="20"/>
                <w:lang w:val="hr-HR"/>
              </w:rPr>
              <w:t>Naknade troškova zaposlenima</w:t>
            </w:r>
          </w:p>
        </w:tc>
        <w:tc>
          <w:tcPr>
            <w:tcW w:w="1701" w:type="dxa"/>
            <w:shd w:val="clear" w:color="auto" w:fill="auto"/>
            <w:noWrap/>
            <w:vAlign w:val="center"/>
            <w:hideMark/>
          </w:tcPr>
          <w:p w14:paraId="7061BBC3" w14:textId="253EA282" w:rsidR="00FA1939" w:rsidRPr="009A4B90" w:rsidRDefault="000B019A" w:rsidP="00FA1939">
            <w:pPr>
              <w:jc w:val="right"/>
              <w:rPr>
                <w:color w:val="000000"/>
                <w:sz w:val="20"/>
                <w:szCs w:val="20"/>
                <w:lang w:val="hr-HR"/>
              </w:rPr>
            </w:pPr>
            <w:r>
              <w:rPr>
                <w:color w:val="000000"/>
                <w:sz w:val="20"/>
                <w:szCs w:val="20"/>
                <w:lang w:val="hr-HR"/>
              </w:rPr>
              <w:t>41</w:t>
            </w:r>
            <w:r w:rsidR="00FA1939" w:rsidRPr="009A4B90">
              <w:rPr>
                <w:color w:val="000000"/>
                <w:sz w:val="20"/>
                <w:szCs w:val="20"/>
                <w:lang w:val="hr-HR"/>
              </w:rPr>
              <w:t>.</w:t>
            </w:r>
            <w:r>
              <w:rPr>
                <w:color w:val="000000"/>
                <w:sz w:val="20"/>
                <w:szCs w:val="20"/>
                <w:lang w:val="hr-HR"/>
              </w:rPr>
              <w:t>238</w:t>
            </w:r>
            <w:r w:rsidR="00FA1939" w:rsidRPr="009A4B90">
              <w:rPr>
                <w:color w:val="000000"/>
                <w:sz w:val="20"/>
                <w:szCs w:val="20"/>
                <w:lang w:val="hr-HR"/>
              </w:rPr>
              <w:t>,</w:t>
            </w:r>
            <w:r>
              <w:rPr>
                <w:color w:val="000000"/>
                <w:sz w:val="20"/>
                <w:szCs w:val="20"/>
                <w:lang w:val="hr-HR"/>
              </w:rPr>
              <w:t>91</w:t>
            </w:r>
            <w:r w:rsidR="00FA1939" w:rsidRPr="009A4B90">
              <w:rPr>
                <w:color w:val="000000"/>
                <w:sz w:val="20"/>
                <w:szCs w:val="20"/>
                <w:lang w:val="hr-HR"/>
              </w:rPr>
              <w:t xml:space="preserve"> €</w:t>
            </w:r>
          </w:p>
        </w:tc>
        <w:tc>
          <w:tcPr>
            <w:tcW w:w="1559" w:type="dxa"/>
            <w:shd w:val="clear" w:color="auto" w:fill="auto"/>
            <w:noWrap/>
            <w:vAlign w:val="center"/>
            <w:hideMark/>
          </w:tcPr>
          <w:p w14:paraId="706D1DED" w14:textId="2943FCAF" w:rsidR="00FA1939" w:rsidRPr="009A4B90" w:rsidRDefault="00FA1939" w:rsidP="00FA1939">
            <w:pPr>
              <w:jc w:val="right"/>
              <w:rPr>
                <w:color w:val="000000"/>
                <w:sz w:val="20"/>
                <w:szCs w:val="20"/>
                <w:lang w:val="hr-HR"/>
              </w:rPr>
            </w:pPr>
            <w:r w:rsidRPr="009A4B90">
              <w:rPr>
                <w:color w:val="000000"/>
                <w:sz w:val="20"/>
                <w:szCs w:val="20"/>
                <w:lang w:val="hr-HR"/>
              </w:rPr>
              <w:t>4</w:t>
            </w:r>
            <w:r w:rsidR="000B019A">
              <w:rPr>
                <w:color w:val="000000"/>
                <w:sz w:val="20"/>
                <w:szCs w:val="20"/>
                <w:lang w:val="hr-HR"/>
              </w:rPr>
              <w:t>2</w:t>
            </w:r>
            <w:r w:rsidRPr="009A4B90">
              <w:rPr>
                <w:color w:val="000000"/>
                <w:sz w:val="20"/>
                <w:szCs w:val="20"/>
                <w:lang w:val="hr-HR"/>
              </w:rPr>
              <w:t>.</w:t>
            </w:r>
            <w:r w:rsidR="000B019A">
              <w:rPr>
                <w:color w:val="000000"/>
                <w:sz w:val="20"/>
                <w:szCs w:val="20"/>
                <w:lang w:val="hr-HR"/>
              </w:rPr>
              <w:t>480</w:t>
            </w:r>
            <w:r w:rsidRPr="009A4B90">
              <w:rPr>
                <w:color w:val="000000"/>
                <w:sz w:val="20"/>
                <w:szCs w:val="20"/>
                <w:lang w:val="hr-HR"/>
              </w:rPr>
              <w:t>,</w:t>
            </w:r>
            <w:r w:rsidR="000B019A">
              <w:rPr>
                <w:color w:val="000000"/>
                <w:sz w:val="20"/>
                <w:szCs w:val="20"/>
                <w:lang w:val="hr-HR"/>
              </w:rPr>
              <w:t>13</w:t>
            </w:r>
            <w:r w:rsidRPr="009A4B90">
              <w:rPr>
                <w:color w:val="000000"/>
                <w:sz w:val="20"/>
                <w:szCs w:val="20"/>
                <w:lang w:val="hr-HR"/>
              </w:rPr>
              <w:t xml:space="preserve"> €</w:t>
            </w:r>
          </w:p>
        </w:tc>
        <w:tc>
          <w:tcPr>
            <w:tcW w:w="1134" w:type="dxa"/>
            <w:shd w:val="clear" w:color="000000" w:fill="FFFFFF"/>
            <w:noWrap/>
            <w:vAlign w:val="center"/>
            <w:hideMark/>
          </w:tcPr>
          <w:p w14:paraId="2521F121" w14:textId="79A72A41"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0B019A">
              <w:rPr>
                <w:rFonts w:ascii="Calibri" w:hAnsi="Calibri" w:cs="Calibri"/>
                <w:color w:val="000000"/>
                <w:sz w:val="20"/>
                <w:szCs w:val="20"/>
                <w:lang w:val="hr-HR"/>
              </w:rPr>
              <w:t>03</w:t>
            </w:r>
          </w:p>
        </w:tc>
      </w:tr>
      <w:tr w:rsidR="00FA1939" w:rsidRPr="009A4B90" w14:paraId="1F67ACAA" w14:textId="77777777" w:rsidTr="009A4B90">
        <w:trPr>
          <w:trHeight w:val="300"/>
        </w:trPr>
        <w:tc>
          <w:tcPr>
            <w:tcW w:w="889" w:type="dxa"/>
            <w:shd w:val="clear" w:color="auto" w:fill="auto"/>
            <w:noWrap/>
            <w:vAlign w:val="center"/>
            <w:hideMark/>
          </w:tcPr>
          <w:p w14:paraId="176D3051" w14:textId="77777777" w:rsidR="00FA1939" w:rsidRPr="009A4B90" w:rsidRDefault="00FA1939" w:rsidP="00FA1939">
            <w:pPr>
              <w:jc w:val="center"/>
              <w:rPr>
                <w:color w:val="000000"/>
                <w:sz w:val="20"/>
                <w:szCs w:val="20"/>
                <w:lang w:val="hr-HR"/>
              </w:rPr>
            </w:pPr>
            <w:r w:rsidRPr="009A4B90">
              <w:rPr>
                <w:color w:val="000000"/>
                <w:sz w:val="20"/>
                <w:szCs w:val="20"/>
                <w:lang w:val="hr-HR"/>
              </w:rPr>
              <w:t>322</w:t>
            </w:r>
          </w:p>
        </w:tc>
        <w:tc>
          <w:tcPr>
            <w:tcW w:w="3897" w:type="dxa"/>
            <w:shd w:val="clear" w:color="auto" w:fill="auto"/>
            <w:vAlign w:val="center"/>
            <w:hideMark/>
          </w:tcPr>
          <w:p w14:paraId="52E343C1" w14:textId="77777777" w:rsidR="00FA1939" w:rsidRPr="009A4B90" w:rsidRDefault="00FA1939" w:rsidP="00FA1939">
            <w:pPr>
              <w:rPr>
                <w:color w:val="000000"/>
                <w:sz w:val="20"/>
                <w:szCs w:val="20"/>
                <w:lang w:val="hr-HR"/>
              </w:rPr>
            </w:pPr>
            <w:r w:rsidRPr="009A4B90">
              <w:rPr>
                <w:color w:val="000000"/>
                <w:sz w:val="20"/>
                <w:szCs w:val="20"/>
                <w:lang w:val="hr-HR"/>
              </w:rPr>
              <w:t>Rashodi za materijal i energiju</w:t>
            </w:r>
          </w:p>
        </w:tc>
        <w:tc>
          <w:tcPr>
            <w:tcW w:w="1701" w:type="dxa"/>
            <w:shd w:val="clear" w:color="auto" w:fill="auto"/>
            <w:noWrap/>
            <w:vAlign w:val="center"/>
            <w:hideMark/>
          </w:tcPr>
          <w:p w14:paraId="73AB2305" w14:textId="6F96D1E0" w:rsidR="00FA1939" w:rsidRPr="009A4B90" w:rsidRDefault="00FA1939" w:rsidP="00FA1939">
            <w:pPr>
              <w:jc w:val="right"/>
              <w:rPr>
                <w:color w:val="000000"/>
                <w:sz w:val="20"/>
                <w:szCs w:val="20"/>
                <w:lang w:val="hr-HR"/>
              </w:rPr>
            </w:pPr>
            <w:r w:rsidRPr="009A4B90">
              <w:rPr>
                <w:color w:val="000000"/>
                <w:sz w:val="20"/>
                <w:szCs w:val="20"/>
                <w:lang w:val="hr-HR"/>
              </w:rPr>
              <w:t>2</w:t>
            </w:r>
            <w:r w:rsidR="000B019A">
              <w:rPr>
                <w:color w:val="000000"/>
                <w:sz w:val="20"/>
                <w:szCs w:val="20"/>
                <w:lang w:val="hr-HR"/>
              </w:rPr>
              <w:t>49</w:t>
            </w:r>
            <w:r w:rsidRPr="009A4B90">
              <w:rPr>
                <w:color w:val="000000"/>
                <w:sz w:val="20"/>
                <w:szCs w:val="20"/>
                <w:lang w:val="hr-HR"/>
              </w:rPr>
              <w:t>.</w:t>
            </w:r>
            <w:r w:rsidR="000B019A">
              <w:rPr>
                <w:color w:val="000000"/>
                <w:sz w:val="20"/>
                <w:szCs w:val="20"/>
                <w:lang w:val="hr-HR"/>
              </w:rPr>
              <w:t>223</w:t>
            </w:r>
            <w:r w:rsidRPr="009A4B90">
              <w:rPr>
                <w:color w:val="000000"/>
                <w:sz w:val="20"/>
                <w:szCs w:val="20"/>
                <w:lang w:val="hr-HR"/>
              </w:rPr>
              <w:t>,</w:t>
            </w:r>
            <w:r w:rsidR="000B019A">
              <w:rPr>
                <w:color w:val="000000"/>
                <w:sz w:val="20"/>
                <w:szCs w:val="20"/>
                <w:lang w:val="hr-HR"/>
              </w:rPr>
              <w:t>05</w:t>
            </w:r>
            <w:r w:rsidRPr="009A4B90">
              <w:rPr>
                <w:color w:val="000000"/>
                <w:sz w:val="20"/>
                <w:szCs w:val="20"/>
                <w:lang w:val="hr-HR"/>
              </w:rPr>
              <w:t xml:space="preserve"> €</w:t>
            </w:r>
          </w:p>
        </w:tc>
        <w:tc>
          <w:tcPr>
            <w:tcW w:w="1559" w:type="dxa"/>
            <w:shd w:val="clear" w:color="auto" w:fill="auto"/>
            <w:noWrap/>
            <w:vAlign w:val="center"/>
            <w:hideMark/>
          </w:tcPr>
          <w:p w14:paraId="076B63D7" w14:textId="34B8D20D" w:rsidR="00FA1939" w:rsidRPr="009A4B90" w:rsidRDefault="00FA1939" w:rsidP="00FA1939">
            <w:pPr>
              <w:jc w:val="right"/>
              <w:rPr>
                <w:color w:val="000000"/>
                <w:sz w:val="20"/>
                <w:szCs w:val="20"/>
                <w:lang w:val="hr-HR"/>
              </w:rPr>
            </w:pPr>
            <w:r w:rsidRPr="009A4B90">
              <w:rPr>
                <w:color w:val="000000"/>
                <w:sz w:val="20"/>
                <w:szCs w:val="20"/>
                <w:lang w:val="hr-HR"/>
              </w:rPr>
              <w:t>24</w:t>
            </w:r>
            <w:r w:rsidR="000B019A">
              <w:rPr>
                <w:color w:val="000000"/>
                <w:sz w:val="20"/>
                <w:szCs w:val="20"/>
                <w:lang w:val="hr-HR"/>
              </w:rPr>
              <w:t>2</w:t>
            </w:r>
            <w:r w:rsidRPr="009A4B90">
              <w:rPr>
                <w:color w:val="000000"/>
                <w:sz w:val="20"/>
                <w:szCs w:val="20"/>
                <w:lang w:val="hr-HR"/>
              </w:rPr>
              <w:t>.</w:t>
            </w:r>
            <w:r w:rsidR="000B019A">
              <w:rPr>
                <w:color w:val="000000"/>
                <w:sz w:val="20"/>
                <w:szCs w:val="20"/>
                <w:lang w:val="hr-HR"/>
              </w:rPr>
              <w:t>01</w:t>
            </w:r>
            <w:r w:rsidRPr="009A4B90">
              <w:rPr>
                <w:color w:val="000000"/>
                <w:sz w:val="20"/>
                <w:szCs w:val="20"/>
                <w:lang w:val="hr-HR"/>
              </w:rPr>
              <w:t>3,</w:t>
            </w:r>
            <w:r w:rsidR="000B019A">
              <w:rPr>
                <w:color w:val="000000"/>
                <w:sz w:val="20"/>
                <w:szCs w:val="20"/>
                <w:lang w:val="hr-HR"/>
              </w:rPr>
              <w:t>11</w:t>
            </w:r>
            <w:r w:rsidRPr="009A4B90">
              <w:rPr>
                <w:color w:val="000000"/>
                <w:sz w:val="20"/>
                <w:szCs w:val="20"/>
                <w:lang w:val="hr-HR"/>
              </w:rPr>
              <w:t xml:space="preserve"> €</w:t>
            </w:r>
          </w:p>
        </w:tc>
        <w:tc>
          <w:tcPr>
            <w:tcW w:w="1134" w:type="dxa"/>
            <w:shd w:val="clear" w:color="000000" w:fill="FFFFFF"/>
            <w:noWrap/>
            <w:vAlign w:val="center"/>
            <w:hideMark/>
          </w:tcPr>
          <w:p w14:paraId="3DE1EDAC" w14:textId="164FC5B1" w:rsidR="00FA1939" w:rsidRPr="009A4B90" w:rsidRDefault="000B019A" w:rsidP="00FA1939">
            <w:pPr>
              <w:jc w:val="center"/>
              <w:rPr>
                <w:rFonts w:ascii="Calibri" w:hAnsi="Calibri" w:cs="Calibri"/>
                <w:color w:val="000000"/>
                <w:sz w:val="20"/>
                <w:szCs w:val="20"/>
                <w:lang w:val="hr-HR"/>
              </w:rPr>
            </w:pPr>
            <w:r>
              <w:rPr>
                <w:rFonts w:ascii="Calibri" w:hAnsi="Calibri" w:cs="Calibri"/>
                <w:color w:val="000000"/>
                <w:sz w:val="20"/>
                <w:szCs w:val="20"/>
                <w:lang w:val="hr-HR"/>
              </w:rPr>
              <w:t>97</w:t>
            </w:r>
          </w:p>
        </w:tc>
      </w:tr>
      <w:tr w:rsidR="00FA1939" w:rsidRPr="009A4B90" w14:paraId="2EF976FE" w14:textId="77777777" w:rsidTr="009A4B90">
        <w:trPr>
          <w:trHeight w:val="300"/>
        </w:trPr>
        <w:tc>
          <w:tcPr>
            <w:tcW w:w="889" w:type="dxa"/>
            <w:shd w:val="clear" w:color="auto" w:fill="auto"/>
            <w:noWrap/>
            <w:vAlign w:val="center"/>
            <w:hideMark/>
          </w:tcPr>
          <w:p w14:paraId="6757ACAE" w14:textId="77777777" w:rsidR="00FA1939" w:rsidRPr="009A4B90" w:rsidRDefault="00FA1939" w:rsidP="00FA1939">
            <w:pPr>
              <w:jc w:val="center"/>
              <w:rPr>
                <w:color w:val="000000"/>
                <w:sz w:val="20"/>
                <w:szCs w:val="20"/>
                <w:lang w:val="hr-HR"/>
              </w:rPr>
            </w:pPr>
            <w:r w:rsidRPr="009A4B90">
              <w:rPr>
                <w:color w:val="000000"/>
                <w:sz w:val="20"/>
                <w:szCs w:val="20"/>
                <w:lang w:val="hr-HR"/>
              </w:rPr>
              <w:t>323</w:t>
            </w:r>
          </w:p>
        </w:tc>
        <w:tc>
          <w:tcPr>
            <w:tcW w:w="3897" w:type="dxa"/>
            <w:shd w:val="clear" w:color="auto" w:fill="auto"/>
            <w:vAlign w:val="center"/>
            <w:hideMark/>
          </w:tcPr>
          <w:p w14:paraId="29886E85" w14:textId="77777777" w:rsidR="00FA1939" w:rsidRPr="009A4B90" w:rsidRDefault="00FA1939" w:rsidP="00FA1939">
            <w:pPr>
              <w:rPr>
                <w:color w:val="000000"/>
                <w:sz w:val="20"/>
                <w:szCs w:val="20"/>
                <w:lang w:val="hr-HR"/>
              </w:rPr>
            </w:pPr>
            <w:r w:rsidRPr="009A4B90">
              <w:rPr>
                <w:color w:val="000000"/>
                <w:sz w:val="20"/>
                <w:szCs w:val="20"/>
                <w:lang w:val="hr-HR"/>
              </w:rPr>
              <w:t>Rashodi za usluge</w:t>
            </w:r>
          </w:p>
        </w:tc>
        <w:tc>
          <w:tcPr>
            <w:tcW w:w="1701" w:type="dxa"/>
            <w:shd w:val="clear" w:color="auto" w:fill="auto"/>
            <w:noWrap/>
            <w:vAlign w:val="center"/>
            <w:hideMark/>
          </w:tcPr>
          <w:p w14:paraId="7204BFF3" w14:textId="28E0233C" w:rsidR="00FA1939" w:rsidRPr="009A4B90" w:rsidRDefault="00FA1939" w:rsidP="00FA1939">
            <w:pPr>
              <w:jc w:val="right"/>
              <w:rPr>
                <w:color w:val="000000"/>
                <w:sz w:val="20"/>
                <w:szCs w:val="20"/>
                <w:lang w:val="hr-HR"/>
              </w:rPr>
            </w:pPr>
            <w:r w:rsidRPr="009A4B90">
              <w:rPr>
                <w:color w:val="000000"/>
                <w:sz w:val="20"/>
                <w:szCs w:val="20"/>
                <w:lang w:val="hr-HR"/>
              </w:rPr>
              <w:t>8</w:t>
            </w:r>
            <w:r w:rsidR="000B019A">
              <w:rPr>
                <w:color w:val="000000"/>
                <w:sz w:val="20"/>
                <w:szCs w:val="20"/>
                <w:lang w:val="hr-HR"/>
              </w:rPr>
              <w:t>8</w:t>
            </w:r>
            <w:r w:rsidRPr="009A4B90">
              <w:rPr>
                <w:color w:val="000000"/>
                <w:sz w:val="20"/>
                <w:szCs w:val="20"/>
                <w:lang w:val="hr-HR"/>
              </w:rPr>
              <w:t>.</w:t>
            </w:r>
            <w:r w:rsidR="000B019A">
              <w:rPr>
                <w:color w:val="000000"/>
                <w:sz w:val="20"/>
                <w:szCs w:val="20"/>
                <w:lang w:val="hr-HR"/>
              </w:rPr>
              <w:t>130</w:t>
            </w:r>
            <w:r w:rsidRPr="009A4B90">
              <w:rPr>
                <w:color w:val="000000"/>
                <w:sz w:val="20"/>
                <w:szCs w:val="20"/>
                <w:lang w:val="hr-HR"/>
              </w:rPr>
              <w:t>,</w:t>
            </w:r>
            <w:r w:rsidR="000B019A">
              <w:rPr>
                <w:color w:val="000000"/>
                <w:sz w:val="20"/>
                <w:szCs w:val="20"/>
                <w:lang w:val="hr-HR"/>
              </w:rPr>
              <w:t>10</w:t>
            </w:r>
            <w:r w:rsidRPr="009A4B90">
              <w:rPr>
                <w:color w:val="000000"/>
                <w:sz w:val="20"/>
                <w:szCs w:val="20"/>
                <w:lang w:val="hr-HR"/>
              </w:rPr>
              <w:t xml:space="preserve"> €</w:t>
            </w:r>
          </w:p>
        </w:tc>
        <w:tc>
          <w:tcPr>
            <w:tcW w:w="1559" w:type="dxa"/>
            <w:shd w:val="clear" w:color="auto" w:fill="auto"/>
            <w:noWrap/>
            <w:vAlign w:val="center"/>
            <w:hideMark/>
          </w:tcPr>
          <w:p w14:paraId="3B44D31A" w14:textId="363B1D82" w:rsidR="00FA1939" w:rsidRPr="009A4B90" w:rsidRDefault="00750162" w:rsidP="00FA1939">
            <w:pPr>
              <w:jc w:val="right"/>
              <w:rPr>
                <w:color w:val="000000"/>
                <w:sz w:val="20"/>
                <w:szCs w:val="20"/>
                <w:lang w:val="hr-HR"/>
              </w:rPr>
            </w:pPr>
            <w:r>
              <w:rPr>
                <w:color w:val="000000"/>
                <w:sz w:val="20"/>
                <w:szCs w:val="20"/>
                <w:lang w:val="hr-HR"/>
              </w:rPr>
              <w:t>102.446</w:t>
            </w:r>
            <w:r w:rsidR="00FA1939" w:rsidRPr="009A4B90">
              <w:rPr>
                <w:color w:val="000000"/>
                <w:sz w:val="20"/>
                <w:szCs w:val="20"/>
                <w:lang w:val="hr-HR"/>
              </w:rPr>
              <w:t>,</w:t>
            </w:r>
            <w:r>
              <w:rPr>
                <w:color w:val="000000"/>
                <w:sz w:val="20"/>
                <w:szCs w:val="20"/>
                <w:lang w:val="hr-HR"/>
              </w:rPr>
              <w:t>69</w:t>
            </w:r>
            <w:r w:rsidR="00FA1939" w:rsidRPr="009A4B90">
              <w:rPr>
                <w:color w:val="000000"/>
                <w:sz w:val="20"/>
                <w:szCs w:val="20"/>
                <w:lang w:val="hr-HR"/>
              </w:rPr>
              <w:t xml:space="preserve"> €</w:t>
            </w:r>
          </w:p>
        </w:tc>
        <w:tc>
          <w:tcPr>
            <w:tcW w:w="1134" w:type="dxa"/>
            <w:shd w:val="clear" w:color="000000" w:fill="FFFFFF"/>
            <w:noWrap/>
            <w:vAlign w:val="center"/>
            <w:hideMark/>
          </w:tcPr>
          <w:p w14:paraId="5A634FCE" w14:textId="07FDB662" w:rsidR="00FA1939" w:rsidRPr="009A4B90" w:rsidRDefault="00750162" w:rsidP="00FA1939">
            <w:pPr>
              <w:jc w:val="center"/>
              <w:rPr>
                <w:rFonts w:ascii="Calibri" w:hAnsi="Calibri" w:cs="Calibri"/>
                <w:color w:val="000000"/>
                <w:sz w:val="20"/>
                <w:szCs w:val="20"/>
                <w:lang w:val="hr-HR"/>
              </w:rPr>
            </w:pPr>
            <w:r>
              <w:rPr>
                <w:rFonts w:ascii="Calibri" w:hAnsi="Calibri" w:cs="Calibri"/>
                <w:color w:val="000000"/>
                <w:sz w:val="20"/>
                <w:szCs w:val="20"/>
                <w:lang w:val="hr-HR"/>
              </w:rPr>
              <w:t>116</w:t>
            </w:r>
          </w:p>
        </w:tc>
      </w:tr>
      <w:tr w:rsidR="00FA1939" w:rsidRPr="009A4B90" w14:paraId="4FCF3334" w14:textId="77777777" w:rsidTr="009A4B90">
        <w:trPr>
          <w:trHeight w:val="300"/>
        </w:trPr>
        <w:tc>
          <w:tcPr>
            <w:tcW w:w="889" w:type="dxa"/>
            <w:shd w:val="clear" w:color="auto" w:fill="auto"/>
            <w:noWrap/>
            <w:vAlign w:val="center"/>
            <w:hideMark/>
          </w:tcPr>
          <w:p w14:paraId="3356A9FE" w14:textId="77777777" w:rsidR="00FA1939" w:rsidRPr="009A4B90" w:rsidRDefault="00FA1939" w:rsidP="00FA1939">
            <w:pPr>
              <w:jc w:val="center"/>
              <w:rPr>
                <w:color w:val="000000"/>
                <w:sz w:val="20"/>
                <w:szCs w:val="20"/>
                <w:lang w:val="hr-HR"/>
              </w:rPr>
            </w:pPr>
            <w:r w:rsidRPr="009A4B90">
              <w:rPr>
                <w:color w:val="000000"/>
                <w:sz w:val="20"/>
                <w:szCs w:val="20"/>
                <w:lang w:val="hr-HR"/>
              </w:rPr>
              <w:t>329</w:t>
            </w:r>
          </w:p>
        </w:tc>
        <w:tc>
          <w:tcPr>
            <w:tcW w:w="3897" w:type="dxa"/>
            <w:shd w:val="clear" w:color="auto" w:fill="auto"/>
            <w:vAlign w:val="center"/>
            <w:hideMark/>
          </w:tcPr>
          <w:p w14:paraId="1EC44633" w14:textId="77777777" w:rsidR="00FA1939" w:rsidRPr="009A4B90" w:rsidRDefault="00FA1939" w:rsidP="00FA1939">
            <w:pPr>
              <w:rPr>
                <w:color w:val="000000"/>
                <w:sz w:val="20"/>
                <w:szCs w:val="20"/>
                <w:lang w:val="hr-HR"/>
              </w:rPr>
            </w:pPr>
            <w:r w:rsidRPr="009A4B90">
              <w:rPr>
                <w:color w:val="000000"/>
                <w:sz w:val="20"/>
                <w:szCs w:val="20"/>
                <w:lang w:val="hr-HR"/>
              </w:rPr>
              <w:t>Ostali nespomenuti rashodi poslovanja</w:t>
            </w:r>
          </w:p>
        </w:tc>
        <w:tc>
          <w:tcPr>
            <w:tcW w:w="1701" w:type="dxa"/>
            <w:shd w:val="clear" w:color="auto" w:fill="auto"/>
            <w:noWrap/>
            <w:vAlign w:val="center"/>
            <w:hideMark/>
          </w:tcPr>
          <w:p w14:paraId="6AC5CC98" w14:textId="430190C1" w:rsidR="00FA1939" w:rsidRPr="009A4B90" w:rsidRDefault="000B019A" w:rsidP="00FA1939">
            <w:pPr>
              <w:jc w:val="right"/>
              <w:rPr>
                <w:color w:val="000000"/>
                <w:sz w:val="20"/>
                <w:szCs w:val="20"/>
                <w:lang w:val="hr-HR"/>
              </w:rPr>
            </w:pPr>
            <w:r>
              <w:rPr>
                <w:color w:val="000000"/>
                <w:sz w:val="20"/>
                <w:szCs w:val="20"/>
                <w:lang w:val="hr-HR"/>
              </w:rPr>
              <w:t>12</w:t>
            </w:r>
            <w:r w:rsidR="00FA1939" w:rsidRPr="009A4B90">
              <w:rPr>
                <w:color w:val="000000"/>
                <w:sz w:val="20"/>
                <w:szCs w:val="20"/>
                <w:lang w:val="hr-HR"/>
              </w:rPr>
              <w:t>.</w:t>
            </w:r>
            <w:r>
              <w:rPr>
                <w:color w:val="000000"/>
                <w:sz w:val="20"/>
                <w:szCs w:val="20"/>
                <w:lang w:val="hr-HR"/>
              </w:rPr>
              <w:t>185</w:t>
            </w:r>
            <w:r w:rsidR="00FA1939" w:rsidRPr="009A4B90">
              <w:rPr>
                <w:color w:val="000000"/>
                <w:sz w:val="20"/>
                <w:szCs w:val="20"/>
                <w:lang w:val="hr-HR"/>
              </w:rPr>
              <w:t>,</w:t>
            </w:r>
            <w:r>
              <w:rPr>
                <w:color w:val="000000"/>
                <w:sz w:val="20"/>
                <w:szCs w:val="20"/>
                <w:lang w:val="hr-HR"/>
              </w:rPr>
              <w:t>85</w:t>
            </w:r>
            <w:r w:rsidR="00FA1939" w:rsidRPr="009A4B90">
              <w:rPr>
                <w:color w:val="000000"/>
                <w:sz w:val="20"/>
                <w:szCs w:val="20"/>
                <w:lang w:val="hr-HR"/>
              </w:rPr>
              <w:t xml:space="preserve"> €</w:t>
            </w:r>
          </w:p>
        </w:tc>
        <w:tc>
          <w:tcPr>
            <w:tcW w:w="1559" w:type="dxa"/>
            <w:shd w:val="clear" w:color="auto" w:fill="auto"/>
            <w:noWrap/>
            <w:vAlign w:val="center"/>
            <w:hideMark/>
          </w:tcPr>
          <w:p w14:paraId="4146DAA8" w14:textId="10959212" w:rsidR="00FA1939" w:rsidRPr="009A4B90" w:rsidRDefault="00750162" w:rsidP="00FA1939">
            <w:pPr>
              <w:jc w:val="right"/>
              <w:rPr>
                <w:color w:val="000000"/>
                <w:sz w:val="20"/>
                <w:szCs w:val="20"/>
                <w:lang w:val="hr-HR"/>
              </w:rPr>
            </w:pPr>
            <w:r>
              <w:rPr>
                <w:color w:val="000000"/>
                <w:sz w:val="20"/>
                <w:szCs w:val="20"/>
                <w:lang w:val="hr-HR"/>
              </w:rPr>
              <w:t>9</w:t>
            </w:r>
            <w:r w:rsidR="00FA1939" w:rsidRPr="009A4B90">
              <w:rPr>
                <w:color w:val="000000"/>
                <w:sz w:val="20"/>
                <w:szCs w:val="20"/>
                <w:lang w:val="hr-HR"/>
              </w:rPr>
              <w:t>.</w:t>
            </w:r>
            <w:r>
              <w:rPr>
                <w:color w:val="000000"/>
                <w:sz w:val="20"/>
                <w:szCs w:val="20"/>
                <w:lang w:val="hr-HR"/>
              </w:rPr>
              <w:t>853</w:t>
            </w:r>
            <w:r w:rsidR="00FA1939" w:rsidRPr="009A4B90">
              <w:rPr>
                <w:color w:val="000000"/>
                <w:sz w:val="20"/>
                <w:szCs w:val="20"/>
                <w:lang w:val="hr-HR"/>
              </w:rPr>
              <w:t>,8</w:t>
            </w:r>
            <w:r>
              <w:rPr>
                <w:color w:val="000000"/>
                <w:sz w:val="20"/>
                <w:szCs w:val="20"/>
                <w:lang w:val="hr-HR"/>
              </w:rPr>
              <w:t>7</w:t>
            </w:r>
            <w:r w:rsidR="00FA1939" w:rsidRPr="009A4B90">
              <w:rPr>
                <w:color w:val="000000"/>
                <w:sz w:val="20"/>
                <w:szCs w:val="20"/>
                <w:lang w:val="hr-HR"/>
              </w:rPr>
              <w:t xml:space="preserve"> €</w:t>
            </w:r>
          </w:p>
        </w:tc>
        <w:tc>
          <w:tcPr>
            <w:tcW w:w="1134" w:type="dxa"/>
            <w:shd w:val="clear" w:color="000000" w:fill="FFFFFF"/>
            <w:noWrap/>
            <w:vAlign w:val="center"/>
            <w:hideMark/>
          </w:tcPr>
          <w:p w14:paraId="563F2730" w14:textId="697E4907" w:rsidR="00FA1939" w:rsidRPr="009A4B90" w:rsidRDefault="00750162" w:rsidP="00FA1939">
            <w:pPr>
              <w:jc w:val="center"/>
              <w:rPr>
                <w:rFonts w:ascii="Calibri" w:hAnsi="Calibri" w:cs="Calibri"/>
                <w:color w:val="000000"/>
                <w:sz w:val="20"/>
                <w:szCs w:val="20"/>
                <w:lang w:val="hr-HR"/>
              </w:rPr>
            </w:pPr>
            <w:r>
              <w:rPr>
                <w:rFonts w:ascii="Calibri" w:hAnsi="Calibri" w:cs="Calibri"/>
                <w:color w:val="000000"/>
                <w:sz w:val="20"/>
                <w:szCs w:val="20"/>
                <w:lang w:val="hr-HR"/>
              </w:rPr>
              <w:t>81</w:t>
            </w:r>
          </w:p>
        </w:tc>
      </w:tr>
      <w:tr w:rsidR="00FA1939" w:rsidRPr="009A4B90" w14:paraId="63B93ED8" w14:textId="77777777" w:rsidTr="009A4B90">
        <w:trPr>
          <w:trHeight w:val="300"/>
        </w:trPr>
        <w:tc>
          <w:tcPr>
            <w:tcW w:w="889" w:type="dxa"/>
            <w:shd w:val="clear" w:color="auto" w:fill="auto"/>
            <w:noWrap/>
            <w:vAlign w:val="center"/>
            <w:hideMark/>
          </w:tcPr>
          <w:p w14:paraId="5AEC38C4"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34</w:t>
            </w:r>
          </w:p>
        </w:tc>
        <w:tc>
          <w:tcPr>
            <w:tcW w:w="3897" w:type="dxa"/>
            <w:shd w:val="clear" w:color="auto" w:fill="auto"/>
            <w:noWrap/>
            <w:vAlign w:val="center"/>
            <w:hideMark/>
          </w:tcPr>
          <w:p w14:paraId="334AA01B"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Financijski rashodi</w:t>
            </w:r>
          </w:p>
        </w:tc>
        <w:tc>
          <w:tcPr>
            <w:tcW w:w="1701" w:type="dxa"/>
            <w:shd w:val="clear" w:color="auto" w:fill="auto"/>
            <w:noWrap/>
            <w:vAlign w:val="center"/>
            <w:hideMark/>
          </w:tcPr>
          <w:p w14:paraId="50ECEAAC" w14:textId="7E567C1A"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2.</w:t>
            </w:r>
            <w:r w:rsidR="000B019A">
              <w:rPr>
                <w:b/>
                <w:bCs/>
                <w:i/>
                <w:iCs/>
                <w:color w:val="000000"/>
                <w:sz w:val="20"/>
                <w:szCs w:val="20"/>
                <w:lang w:val="hr-HR"/>
              </w:rPr>
              <w:t>648</w:t>
            </w:r>
            <w:r w:rsidRPr="009A4B90">
              <w:rPr>
                <w:b/>
                <w:bCs/>
                <w:i/>
                <w:iCs/>
                <w:color w:val="000000"/>
                <w:sz w:val="20"/>
                <w:szCs w:val="20"/>
                <w:lang w:val="hr-HR"/>
              </w:rPr>
              <w:t>,</w:t>
            </w:r>
            <w:r w:rsidR="000B019A">
              <w:rPr>
                <w:b/>
                <w:bCs/>
                <w:i/>
                <w:iCs/>
                <w:color w:val="000000"/>
                <w:sz w:val="20"/>
                <w:szCs w:val="20"/>
                <w:lang w:val="hr-HR"/>
              </w:rPr>
              <w:t>13</w:t>
            </w:r>
            <w:r w:rsidRPr="009A4B90">
              <w:rPr>
                <w:b/>
                <w:bCs/>
                <w:i/>
                <w:iCs/>
                <w:color w:val="000000"/>
                <w:sz w:val="20"/>
                <w:szCs w:val="20"/>
                <w:lang w:val="hr-HR"/>
              </w:rPr>
              <w:t xml:space="preserve"> €</w:t>
            </w:r>
          </w:p>
        </w:tc>
        <w:tc>
          <w:tcPr>
            <w:tcW w:w="1559" w:type="dxa"/>
            <w:shd w:val="clear" w:color="auto" w:fill="auto"/>
            <w:noWrap/>
            <w:vAlign w:val="center"/>
            <w:hideMark/>
          </w:tcPr>
          <w:p w14:paraId="2BF3B189" w14:textId="54A38661"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2.</w:t>
            </w:r>
            <w:r w:rsidR="00750162">
              <w:rPr>
                <w:b/>
                <w:bCs/>
                <w:i/>
                <w:iCs/>
                <w:color w:val="000000"/>
                <w:sz w:val="20"/>
                <w:szCs w:val="20"/>
                <w:lang w:val="hr-HR"/>
              </w:rPr>
              <w:t>315,9</w:t>
            </w:r>
            <w:r w:rsidRPr="009A4B90">
              <w:rPr>
                <w:b/>
                <w:bCs/>
                <w:i/>
                <w:iCs/>
                <w:color w:val="000000"/>
                <w:sz w:val="20"/>
                <w:szCs w:val="20"/>
                <w:lang w:val="hr-HR"/>
              </w:rPr>
              <w:t>3€</w:t>
            </w:r>
          </w:p>
        </w:tc>
        <w:tc>
          <w:tcPr>
            <w:tcW w:w="1134" w:type="dxa"/>
            <w:shd w:val="clear" w:color="000000" w:fill="FFFFFF"/>
            <w:noWrap/>
            <w:vAlign w:val="center"/>
            <w:hideMark/>
          </w:tcPr>
          <w:p w14:paraId="3EEEA192" w14:textId="10B65170" w:rsidR="00FA1939" w:rsidRPr="009A4B90" w:rsidRDefault="00750162" w:rsidP="00FA1939">
            <w:pPr>
              <w:jc w:val="center"/>
              <w:rPr>
                <w:rFonts w:ascii="Calibri" w:hAnsi="Calibri" w:cs="Calibri"/>
                <w:color w:val="000000"/>
                <w:sz w:val="20"/>
                <w:szCs w:val="20"/>
                <w:lang w:val="hr-HR"/>
              </w:rPr>
            </w:pPr>
            <w:r>
              <w:rPr>
                <w:rFonts w:ascii="Calibri" w:hAnsi="Calibri" w:cs="Calibri"/>
                <w:color w:val="000000"/>
                <w:sz w:val="20"/>
                <w:szCs w:val="20"/>
                <w:lang w:val="hr-HR"/>
              </w:rPr>
              <w:t>87</w:t>
            </w:r>
          </w:p>
        </w:tc>
      </w:tr>
      <w:tr w:rsidR="00FA1939" w:rsidRPr="009A4B90" w14:paraId="70BF1BA8" w14:textId="77777777" w:rsidTr="009A4B90">
        <w:trPr>
          <w:trHeight w:val="300"/>
        </w:trPr>
        <w:tc>
          <w:tcPr>
            <w:tcW w:w="889" w:type="dxa"/>
            <w:shd w:val="clear" w:color="auto" w:fill="auto"/>
            <w:noWrap/>
            <w:vAlign w:val="center"/>
            <w:hideMark/>
          </w:tcPr>
          <w:p w14:paraId="54ACD862" w14:textId="77777777" w:rsidR="00FA1939" w:rsidRPr="009A4B90" w:rsidRDefault="00FA1939" w:rsidP="00FA1939">
            <w:pPr>
              <w:jc w:val="center"/>
              <w:rPr>
                <w:color w:val="000000"/>
                <w:sz w:val="20"/>
                <w:szCs w:val="20"/>
                <w:lang w:val="hr-HR"/>
              </w:rPr>
            </w:pPr>
            <w:r w:rsidRPr="009A4B90">
              <w:rPr>
                <w:color w:val="000000"/>
                <w:sz w:val="20"/>
                <w:szCs w:val="20"/>
                <w:lang w:val="hr-HR"/>
              </w:rPr>
              <w:t>343</w:t>
            </w:r>
          </w:p>
        </w:tc>
        <w:tc>
          <w:tcPr>
            <w:tcW w:w="3897" w:type="dxa"/>
            <w:shd w:val="clear" w:color="auto" w:fill="auto"/>
            <w:noWrap/>
            <w:vAlign w:val="center"/>
            <w:hideMark/>
          </w:tcPr>
          <w:p w14:paraId="05F6015F" w14:textId="77777777" w:rsidR="00FA1939" w:rsidRPr="009A4B90" w:rsidRDefault="00FA1939" w:rsidP="00FA1939">
            <w:pPr>
              <w:rPr>
                <w:color w:val="000000"/>
                <w:sz w:val="20"/>
                <w:szCs w:val="20"/>
                <w:lang w:val="hr-HR"/>
              </w:rPr>
            </w:pPr>
            <w:r w:rsidRPr="009A4B90">
              <w:rPr>
                <w:color w:val="000000"/>
                <w:sz w:val="20"/>
                <w:szCs w:val="20"/>
                <w:lang w:val="hr-HR"/>
              </w:rPr>
              <w:t>Ostali financijski rashodi</w:t>
            </w:r>
          </w:p>
        </w:tc>
        <w:tc>
          <w:tcPr>
            <w:tcW w:w="1701" w:type="dxa"/>
            <w:shd w:val="clear" w:color="auto" w:fill="auto"/>
            <w:noWrap/>
            <w:vAlign w:val="center"/>
            <w:hideMark/>
          </w:tcPr>
          <w:p w14:paraId="499F3DDA" w14:textId="28CB40D1" w:rsidR="00FA1939" w:rsidRPr="009A4B90" w:rsidRDefault="00FA1939" w:rsidP="00FA1939">
            <w:pPr>
              <w:jc w:val="right"/>
              <w:rPr>
                <w:color w:val="000000"/>
                <w:sz w:val="20"/>
                <w:szCs w:val="20"/>
                <w:lang w:val="hr-HR"/>
              </w:rPr>
            </w:pPr>
            <w:r w:rsidRPr="009A4B90">
              <w:rPr>
                <w:color w:val="000000"/>
                <w:sz w:val="20"/>
                <w:szCs w:val="20"/>
                <w:lang w:val="hr-HR"/>
              </w:rPr>
              <w:t>2.</w:t>
            </w:r>
            <w:r w:rsidR="000B019A">
              <w:rPr>
                <w:color w:val="000000"/>
                <w:sz w:val="20"/>
                <w:szCs w:val="20"/>
                <w:lang w:val="hr-HR"/>
              </w:rPr>
              <w:t>648</w:t>
            </w:r>
            <w:r w:rsidRPr="009A4B90">
              <w:rPr>
                <w:color w:val="000000"/>
                <w:sz w:val="20"/>
                <w:szCs w:val="20"/>
                <w:lang w:val="hr-HR"/>
              </w:rPr>
              <w:t>,</w:t>
            </w:r>
            <w:r w:rsidR="000B019A">
              <w:rPr>
                <w:color w:val="000000"/>
                <w:sz w:val="20"/>
                <w:szCs w:val="20"/>
                <w:lang w:val="hr-HR"/>
              </w:rPr>
              <w:t>13</w:t>
            </w:r>
            <w:r w:rsidRPr="009A4B90">
              <w:rPr>
                <w:color w:val="000000"/>
                <w:sz w:val="20"/>
                <w:szCs w:val="20"/>
                <w:lang w:val="hr-HR"/>
              </w:rPr>
              <w:t xml:space="preserve"> €</w:t>
            </w:r>
          </w:p>
        </w:tc>
        <w:tc>
          <w:tcPr>
            <w:tcW w:w="1559" w:type="dxa"/>
            <w:shd w:val="clear" w:color="auto" w:fill="auto"/>
            <w:noWrap/>
            <w:vAlign w:val="center"/>
            <w:hideMark/>
          </w:tcPr>
          <w:p w14:paraId="7D14B1B4" w14:textId="4C97315F" w:rsidR="00FA1939" w:rsidRPr="009A4B90" w:rsidRDefault="00FA1939" w:rsidP="00FA1939">
            <w:pPr>
              <w:jc w:val="right"/>
              <w:rPr>
                <w:color w:val="000000"/>
                <w:sz w:val="20"/>
                <w:szCs w:val="20"/>
                <w:lang w:val="hr-HR"/>
              </w:rPr>
            </w:pPr>
            <w:r w:rsidRPr="009A4B90">
              <w:rPr>
                <w:color w:val="000000"/>
                <w:sz w:val="20"/>
                <w:szCs w:val="20"/>
                <w:lang w:val="hr-HR"/>
              </w:rPr>
              <w:t>2.</w:t>
            </w:r>
            <w:r w:rsidR="00750162">
              <w:rPr>
                <w:color w:val="000000"/>
                <w:sz w:val="20"/>
                <w:szCs w:val="20"/>
                <w:lang w:val="hr-HR"/>
              </w:rPr>
              <w:t>315</w:t>
            </w:r>
            <w:r w:rsidRPr="009A4B90">
              <w:rPr>
                <w:color w:val="000000"/>
                <w:sz w:val="20"/>
                <w:szCs w:val="20"/>
                <w:lang w:val="hr-HR"/>
              </w:rPr>
              <w:t>,</w:t>
            </w:r>
            <w:r w:rsidR="00750162">
              <w:rPr>
                <w:color w:val="000000"/>
                <w:sz w:val="20"/>
                <w:szCs w:val="20"/>
                <w:lang w:val="hr-HR"/>
              </w:rPr>
              <w:t>9</w:t>
            </w:r>
            <w:r w:rsidRPr="009A4B90">
              <w:rPr>
                <w:color w:val="000000"/>
                <w:sz w:val="20"/>
                <w:szCs w:val="20"/>
                <w:lang w:val="hr-HR"/>
              </w:rPr>
              <w:t>3 €</w:t>
            </w:r>
          </w:p>
        </w:tc>
        <w:tc>
          <w:tcPr>
            <w:tcW w:w="1134" w:type="dxa"/>
            <w:shd w:val="clear" w:color="000000" w:fill="FFFFFF"/>
            <w:noWrap/>
            <w:vAlign w:val="center"/>
            <w:hideMark/>
          </w:tcPr>
          <w:p w14:paraId="1DF23A9B" w14:textId="4D4260E6" w:rsidR="00FA1939" w:rsidRPr="009A4B90" w:rsidRDefault="00750162" w:rsidP="00FA1939">
            <w:pPr>
              <w:jc w:val="center"/>
              <w:rPr>
                <w:rFonts w:ascii="Calibri" w:hAnsi="Calibri" w:cs="Calibri"/>
                <w:color w:val="000000"/>
                <w:sz w:val="20"/>
                <w:szCs w:val="20"/>
                <w:lang w:val="hr-HR"/>
              </w:rPr>
            </w:pPr>
            <w:r>
              <w:rPr>
                <w:rFonts w:ascii="Calibri" w:hAnsi="Calibri" w:cs="Calibri"/>
                <w:color w:val="000000"/>
                <w:sz w:val="20"/>
                <w:szCs w:val="20"/>
                <w:lang w:val="hr-HR"/>
              </w:rPr>
              <w:t>87</w:t>
            </w:r>
            <w:r w:rsidR="00FA1939" w:rsidRPr="009A4B90">
              <w:rPr>
                <w:rFonts w:ascii="Calibri" w:hAnsi="Calibri" w:cs="Calibri"/>
                <w:color w:val="000000"/>
                <w:sz w:val="20"/>
                <w:szCs w:val="20"/>
                <w:lang w:val="hr-HR"/>
              </w:rPr>
              <w:t> </w:t>
            </w:r>
          </w:p>
        </w:tc>
      </w:tr>
      <w:tr w:rsidR="00FA1939" w:rsidRPr="009A4B90" w14:paraId="586F8B46" w14:textId="77777777" w:rsidTr="009A4B90">
        <w:trPr>
          <w:trHeight w:val="300"/>
        </w:trPr>
        <w:tc>
          <w:tcPr>
            <w:tcW w:w="889" w:type="dxa"/>
            <w:shd w:val="clear" w:color="auto" w:fill="auto"/>
            <w:noWrap/>
            <w:vAlign w:val="center"/>
            <w:hideMark/>
          </w:tcPr>
          <w:p w14:paraId="6E94E394"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4</w:t>
            </w:r>
          </w:p>
        </w:tc>
        <w:tc>
          <w:tcPr>
            <w:tcW w:w="3897" w:type="dxa"/>
            <w:shd w:val="clear" w:color="auto" w:fill="auto"/>
            <w:noWrap/>
            <w:vAlign w:val="center"/>
            <w:hideMark/>
          </w:tcPr>
          <w:p w14:paraId="60EBA62A"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za nabavu nefinancijske imovine</w:t>
            </w:r>
          </w:p>
        </w:tc>
        <w:tc>
          <w:tcPr>
            <w:tcW w:w="1701" w:type="dxa"/>
            <w:shd w:val="clear" w:color="auto" w:fill="auto"/>
            <w:noWrap/>
            <w:vAlign w:val="center"/>
            <w:hideMark/>
          </w:tcPr>
          <w:p w14:paraId="4B528DC5" w14:textId="714D53AC" w:rsidR="00FA1939" w:rsidRPr="009A4B90" w:rsidRDefault="000B019A" w:rsidP="00FA1939">
            <w:pPr>
              <w:jc w:val="right"/>
              <w:rPr>
                <w:b/>
                <w:bCs/>
                <w:i/>
                <w:iCs/>
                <w:color w:val="000000"/>
                <w:sz w:val="20"/>
                <w:szCs w:val="20"/>
                <w:lang w:val="hr-HR"/>
              </w:rPr>
            </w:pPr>
            <w:r>
              <w:rPr>
                <w:b/>
                <w:bCs/>
                <w:i/>
                <w:iCs/>
                <w:color w:val="000000"/>
                <w:sz w:val="20"/>
                <w:szCs w:val="20"/>
                <w:lang w:val="hr-HR"/>
              </w:rPr>
              <w:t>8</w:t>
            </w:r>
            <w:r w:rsidR="00FA1939" w:rsidRPr="009A4B90">
              <w:rPr>
                <w:b/>
                <w:bCs/>
                <w:i/>
                <w:iCs/>
                <w:color w:val="000000"/>
                <w:sz w:val="20"/>
                <w:szCs w:val="20"/>
                <w:lang w:val="hr-HR"/>
              </w:rPr>
              <w:t>.</w:t>
            </w:r>
            <w:r>
              <w:rPr>
                <w:b/>
                <w:bCs/>
                <w:i/>
                <w:iCs/>
                <w:color w:val="000000"/>
                <w:sz w:val="20"/>
                <w:szCs w:val="20"/>
                <w:lang w:val="hr-HR"/>
              </w:rPr>
              <w:t>324</w:t>
            </w:r>
            <w:r w:rsidR="00FA1939" w:rsidRPr="009A4B90">
              <w:rPr>
                <w:b/>
                <w:bCs/>
                <w:i/>
                <w:iCs/>
                <w:color w:val="000000"/>
                <w:sz w:val="20"/>
                <w:szCs w:val="20"/>
                <w:lang w:val="hr-HR"/>
              </w:rPr>
              <w:t>,</w:t>
            </w:r>
            <w:r>
              <w:rPr>
                <w:b/>
                <w:bCs/>
                <w:i/>
                <w:iCs/>
                <w:color w:val="000000"/>
                <w:sz w:val="20"/>
                <w:szCs w:val="20"/>
                <w:lang w:val="hr-HR"/>
              </w:rPr>
              <w:t>9</w:t>
            </w:r>
            <w:r w:rsidR="00FA1939" w:rsidRPr="009A4B90">
              <w:rPr>
                <w:b/>
                <w:bCs/>
                <w:i/>
                <w:iCs/>
                <w:color w:val="000000"/>
                <w:sz w:val="20"/>
                <w:szCs w:val="20"/>
                <w:lang w:val="hr-HR"/>
              </w:rPr>
              <w:t>5 €</w:t>
            </w:r>
          </w:p>
        </w:tc>
        <w:tc>
          <w:tcPr>
            <w:tcW w:w="1559" w:type="dxa"/>
            <w:shd w:val="clear" w:color="auto" w:fill="auto"/>
            <w:noWrap/>
            <w:vAlign w:val="center"/>
            <w:hideMark/>
          </w:tcPr>
          <w:p w14:paraId="3915A9B7" w14:textId="6B771826" w:rsidR="00FA1939" w:rsidRPr="009A4B90" w:rsidRDefault="007B36E7" w:rsidP="00FA1939">
            <w:pPr>
              <w:jc w:val="right"/>
              <w:rPr>
                <w:b/>
                <w:bCs/>
                <w:i/>
                <w:iCs/>
                <w:color w:val="000000"/>
                <w:sz w:val="20"/>
                <w:szCs w:val="20"/>
                <w:lang w:val="hr-HR"/>
              </w:rPr>
            </w:pPr>
            <w:r>
              <w:rPr>
                <w:b/>
                <w:bCs/>
                <w:i/>
                <w:iCs/>
                <w:color w:val="000000"/>
                <w:sz w:val="20"/>
                <w:szCs w:val="20"/>
                <w:lang w:val="hr-HR"/>
              </w:rPr>
              <w:t>1.169,10</w:t>
            </w:r>
            <w:r w:rsidR="00FA1939" w:rsidRPr="009A4B90">
              <w:rPr>
                <w:b/>
                <w:bCs/>
                <w:i/>
                <w:iCs/>
                <w:color w:val="000000"/>
                <w:sz w:val="20"/>
                <w:szCs w:val="20"/>
                <w:lang w:val="hr-HR"/>
              </w:rPr>
              <w:t xml:space="preserve"> €</w:t>
            </w:r>
          </w:p>
        </w:tc>
        <w:tc>
          <w:tcPr>
            <w:tcW w:w="1134" w:type="dxa"/>
            <w:shd w:val="clear" w:color="000000" w:fill="FFFFFF"/>
            <w:noWrap/>
            <w:vAlign w:val="center"/>
            <w:hideMark/>
          </w:tcPr>
          <w:p w14:paraId="0F1CA195" w14:textId="498AEB55"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7B36E7">
              <w:rPr>
                <w:rFonts w:ascii="Calibri" w:hAnsi="Calibri" w:cs="Calibri"/>
                <w:color w:val="000000"/>
                <w:sz w:val="20"/>
                <w:szCs w:val="20"/>
                <w:lang w:val="hr-HR"/>
              </w:rPr>
              <w:t>4</w:t>
            </w:r>
          </w:p>
        </w:tc>
      </w:tr>
      <w:tr w:rsidR="00FA1939" w:rsidRPr="009A4B90" w14:paraId="1D32B922" w14:textId="77777777" w:rsidTr="009A4B90">
        <w:trPr>
          <w:trHeight w:val="300"/>
        </w:trPr>
        <w:tc>
          <w:tcPr>
            <w:tcW w:w="889" w:type="dxa"/>
            <w:shd w:val="clear" w:color="auto" w:fill="auto"/>
            <w:noWrap/>
            <w:vAlign w:val="center"/>
            <w:hideMark/>
          </w:tcPr>
          <w:p w14:paraId="4A3ED478"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42</w:t>
            </w:r>
          </w:p>
        </w:tc>
        <w:tc>
          <w:tcPr>
            <w:tcW w:w="3897" w:type="dxa"/>
            <w:shd w:val="clear" w:color="auto" w:fill="auto"/>
            <w:noWrap/>
            <w:vAlign w:val="center"/>
            <w:hideMark/>
          </w:tcPr>
          <w:p w14:paraId="6769E9D7"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za nabavu proizvedene dugotrajne imovine</w:t>
            </w:r>
          </w:p>
        </w:tc>
        <w:tc>
          <w:tcPr>
            <w:tcW w:w="1701" w:type="dxa"/>
            <w:shd w:val="clear" w:color="auto" w:fill="auto"/>
            <w:noWrap/>
            <w:vAlign w:val="center"/>
            <w:hideMark/>
          </w:tcPr>
          <w:p w14:paraId="653CCCAC" w14:textId="7AA43EA2" w:rsidR="00FA1939" w:rsidRPr="009A4B90" w:rsidRDefault="000B019A" w:rsidP="00FA1939">
            <w:pPr>
              <w:jc w:val="right"/>
              <w:rPr>
                <w:b/>
                <w:bCs/>
                <w:i/>
                <w:iCs/>
                <w:color w:val="000000"/>
                <w:sz w:val="20"/>
                <w:szCs w:val="20"/>
                <w:lang w:val="hr-HR"/>
              </w:rPr>
            </w:pPr>
            <w:r>
              <w:rPr>
                <w:b/>
                <w:bCs/>
                <w:i/>
                <w:iCs/>
                <w:color w:val="000000"/>
                <w:sz w:val="20"/>
                <w:szCs w:val="20"/>
                <w:lang w:val="hr-HR"/>
              </w:rPr>
              <w:t>8</w:t>
            </w:r>
            <w:r w:rsidR="00FA1939" w:rsidRPr="009A4B90">
              <w:rPr>
                <w:b/>
                <w:bCs/>
                <w:i/>
                <w:iCs/>
                <w:color w:val="000000"/>
                <w:sz w:val="20"/>
                <w:szCs w:val="20"/>
                <w:lang w:val="hr-HR"/>
              </w:rPr>
              <w:t>.</w:t>
            </w:r>
            <w:r>
              <w:rPr>
                <w:b/>
                <w:bCs/>
                <w:i/>
                <w:iCs/>
                <w:color w:val="000000"/>
                <w:sz w:val="20"/>
                <w:szCs w:val="20"/>
                <w:lang w:val="hr-HR"/>
              </w:rPr>
              <w:t>324</w:t>
            </w:r>
            <w:r w:rsidR="00FA1939" w:rsidRPr="009A4B90">
              <w:rPr>
                <w:b/>
                <w:bCs/>
                <w:i/>
                <w:iCs/>
                <w:color w:val="000000"/>
                <w:sz w:val="20"/>
                <w:szCs w:val="20"/>
                <w:lang w:val="hr-HR"/>
              </w:rPr>
              <w:t>,</w:t>
            </w:r>
            <w:r>
              <w:rPr>
                <w:b/>
                <w:bCs/>
                <w:i/>
                <w:iCs/>
                <w:color w:val="000000"/>
                <w:sz w:val="20"/>
                <w:szCs w:val="20"/>
                <w:lang w:val="hr-HR"/>
              </w:rPr>
              <w:t>9</w:t>
            </w:r>
            <w:r w:rsidR="00FA1939" w:rsidRPr="009A4B90">
              <w:rPr>
                <w:b/>
                <w:bCs/>
                <w:i/>
                <w:iCs/>
                <w:color w:val="000000"/>
                <w:sz w:val="20"/>
                <w:szCs w:val="20"/>
                <w:lang w:val="hr-HR"/>
              </w:rPr>
              <w:t>5 €</w:t>
            </w:r>
          </w:p>
        </w:tc>
        <w:tc>
          <w:tcPr>
            <w:tcW w:w="1559" w:type="dxa"/>
            <w:shd w:val="clear" w:color="auto" w:fill="auto"/>
            <w:noWrap/>
            <w:vAlign w:val="center"/>
            <w:hideMark/>
          </w:tcPr>
          <w:p w14:paraId="6884CE14" w14:textId="0BBA8DD7" w:rsidR="00FA1939" w:rsidRPr="009A4B90" w:rsidRDefault="007B36E7" w:rsidP="00FA1939">
            <w:pPr>
              <w:jc w:val="right"/>
              <w:rPr>
                <w:b/>
                <w:bCs/>
                <w:i/>
                <w:iCs/>
                <w:color w:val="000000"/>
                <w:sz w:val="20"/>
                <w:szCs w:val="20"/>
                <w:lang w:val="hr-HR"/>
              </w:rPr>
            </w:pPr>
            <w:r>
              <w:rPr>
                <w:b/>
                <w:bCs/>
                <w:i/>
                <w:iCs/>
                <w:color w:val="000000"/>
                <w:sz w:val="20"/>
                <w:szCs w:val="20"/>
                <w:lang w:val="hr-HR"/>
              </w:rPr>
              <w:t>1</w:t>
            </w:r>
            <w:r w:rsidR="00FA1939" w:rsidRPr="009A4B90">
              <w:rPr>
                <w:b/>
                <w:bCs/>
                <w:i/>
                <w:iCs/>
                <w:color w:val="000000"/>
                <w:sz w:val="20"/>
                <w:szCs w:val="20"/>
                <w:lang w:val="hr-HR"/>
              </w:rPr>
              <w:t>.</w:t>
            </w:r>
            <w:r>
              <w:rPr>
                <w:b/>
                <w:bCs/>
                <w:i/>
                <w:iCs/>
                <w:color w:val="000000"/>
                <w:sz w:val="20"/>
                <w:szCs w:val="20"/>
                <w:lang w:val="hr-HR"/>
              </w:rPr>
              <w:t>169</w:t>
            </w:r>
            <w:r w:rsidR="00FA1939" w:rsidRPr="009A4B90">
              <w:rPr>
                <w:b/>
                <w:bCs/>
                <w:i/>
                <w:iCs/>
                <w:color w:val="000000"/>
                <w:sz w:val="20"/>
                <w:szCs w:val="20"/>
                <w:lang w:val="hr-HR"/>
              </w:rPr>
              <w:t>,</w:t>
            </w:r>
            <w:r>
              <w:rPr>
                <w:b/>
                <w:bCs/>
                <w:i/>
                <w:iCs/>
                <w:color w:val="000000"/>
                <w:sz w:val="20"/>
                <w:szCs w:val="20"/>
                <w:lang w:val="hr-HR"/>
              </w:rPr>
              <w:t>10</w:t>
            </w:r>
            <w:r w:rsidR="00FA1939" w:rsidRPr="009A4B90">
              <w:rPr>
                <w:b/>
                <w:bCs/>
                <w:i/>
                <w:iCs/>
                <w:color w:val="000000"/>
                <w:sz w:val="20"/>
                <w:szCs w:val="20"/>
                <w:lang w:val="hr-HR"/>
              </w:rPr>
              <w:t xml:space="preserve"> €</w:t>
            </w:r>
          </w:p>
        </w:tc>
        <w:tc>
          <w:tcPr>
            <w:tcW w:w="1134" w:type="dxa"/>
            <w:shd w:val="clear" w:color="000000" w:fill="FFFFFF"/>
            <w:noWrap/>
            <w:vAlign w:val="center"/>
            <w:hideMark/>
          </w:tcPr>
          <w:p w14:paraId="49E2CF2C" w14:textId="69D5F790"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7B36E7">
              <w:rPr>
                <w:rFonts w:ascii="Calibri" w:hAnsi="Calibri" w:cs="Calibri"/>
                <w:color w:val="000000"/>
                <w:sz w:val="20"/>
                <w:szCs w:val="20"/>
                <w:lang w:val="hr-HR"/>
              </w:rPr>
              <w:t>4</w:t>
            </w:r>
          </w:p>
        </w:tc>
      </w:tr>
      <w:tr w:rsidR="00FA1939" w:rsidRPr="009A4B90" w14:paraId="2A8D649A" w14:textId="77777777" w:rsidTr="009A4B90">
        <w:trPr>
          <w:trHeight w:val="300"/>
        </w:trPr>
        <w:tc>
          <w:tcPr>
            <w:tcW w:w="889" w:type="dxa"/>
            <w:shd w:val="clear" w:color="auto" w:fill="auto"/>
            <w:noWrap/>
            <w:vAlign w:val="center"/>
            <w:hideMark/>
          </w:tcPr>
          <w:p w14:paraId="3DF50147" w14:textId="77777777" w:rsidR="00FA1939" w:rsidRPr="009A4B90" w:rsidRDefault="00FA1939" w:rsidP="00FA1939">
            <w:pPr>
              <w:jc w:val="center"/>
              <w:rPr>
                <w:color w:val="000000"/>
                <w:sz w:val="20"/>
                <w:szCs w:val="20"/>
                <w:lang w:val="hr-HR"/>
              </w:rPr>
            </w:pPr>
            <w:r w:rsidRPr="009A4B90">
              <w:rPr>
                <w:color w:val="000000"/>
                <w:sz w:val="20"/>
                <w:szCs w:val="20"/>
                <w:lang w:val="hr-HR"/>
              </w:rPr>
              <w:t>422</w:t>
            </w:r>
          </w:p>
        </w:tc>
        <w:tc>
          <w:tcPr>
            <w:tcW w:w="3897" w:type="dxa"/>
            <w:shd w:val="clear" w:color="auto" w:fill="auto"/>
            <w:vAlign w:val="center"/>
            <w:hideMark/>
          </w:tcPr>
          <w:p w14:paraId="7B3ED5E9" w14:textId="77777777" w:rsidR="00FA1939" w:rsidRPr="009A4B90" w:rsidRDefault="00FA1939" w:rsidP="00FA1939">
            <w:pPr>
              <w:rPr>
                <w:color w:val="000000"/>
                <w:sz w:val="20"/>
                <w:szCs w:val="20"/>
                <w:lang w:val="hr-HR"/>
              </w:rPr>
            </w:pPr>
            <w:r w:rsidRPr="009A4B90">
              <w:rPr>
                <w:color w:val="000000"/>
                <w:sz w:val="20"/>
                <w:szCs w:val="20"/>
                <w:lang w:val="hr-HR"/>
              </w:rPr>
              <w:t>Postrojenja i oprema</w:t>
            </w:r>
          </w:p>
        </w:tc>
        <w:tc>
          <w:tcPr>
            <w:tcW w:w="1701" w:type="dxa"/>
            <w:shd w:val="clear" w:color="auto" w:fill="auto"/>
            <w:noWrap/>
            <w:vAlign w:val="center"/>
            <w:hideMark/>
          </w:tcPr>
          <w:p w14:paraId="34A132AC" w14:textId="7499DE43" w:rsidR="00FA1939" w:rsidRPr="009A4B90" w:rsidRDefault="000B019A" w:rsidP="00FA1939">
            <w:pPr>
              <w:jc w:val="right"/>
              <w:rPr>
                <w:color w:val="000000"/>
                <w:sz w:val="20"/>
                <w:szCs w:val="20"/>
                <w:lang w:val="hr-HR"/>
              </w:rPr>
            </w:pPr>
            <w:r>
              <w:rPr>
                <w:color w:val="000000"/>
                <w:sz w:val="20"/>
                <w:szCs w:val="20"/>
                <w:lang w:val="hr-HR"/>
              </w:rPr>
              <w:t>8.324</w:t>
            </w:r>
            <w:r w:rsidR="00FA1939" w:rsidRPr="009A4B90">
              <w:rPr>
                <w:color w:val="000000"/>
                <w:sz w:val="20"/>
                <w:szCs w:val="20"/>
                <w:lang w:val="hr-HR"/>
              </w:rPr>
              <w:t>,</w:t>
            </w:r>
            <w:r>
              <w:rPr>
                <w:color w:val="000000"/>
                <w:sz w:val="20"/>
                <w:szCs w:val="20"/>
                <w:lang w:val="hr-HR"/>
              </w:rPr>
              <w:t>9</w:t>
            </w:r>
            <w:r w:rsidR="00FA1939" w:rsidRPr="009A4B90">
              <w:rPr>
                <w:color w:val="000000"/>
                <w:sz w:val="20"/>
                <w:szCs w:val="20"/>
                <w:lang w:val="hr-HR"/>
              </w:rPr>
              <w:t>5 €</w:t>
            </w:r>
          </w:p>
        </w:tc>
        <w:tc>
          <w:tcPr>
            <w:tcW w:w="1559" w:type="dxa"/>
            <w:shd w:val="clear" w:color="auto" w:fill="auto"/>
            <w:noWrap/>
            <w:vAlign w:val="center"/>
            <w:hideMark/>
          </w:tcPr>
          <w:p w14:paraId="2721C109" w14:textId="7AD02A28" w:rsidR="00FA1939" w:rsidRPr="009A4B90" w:rsidRDefault="007B36E7" w:rsidP="00FA1939">
            <w:pPr>
              <w:jc w:val="right"/>
              <w:rPr>
                <w:color w:val="000000"/>
                <w:sz w:val="20"/>
                <w:szCs w:val="20"/>
                <w:lang w:val="hr-HR"/>
              </w:rPr>
            </w:pPr>
            <w:r>
              <w:rPr>
                <w:color w:val="000000"/>
                <w:sz w:val="20"/>
                <w:szCs w:val="20"/>
                <w:lang w:val="hr-HR"/>
              </w:rPr>
              <w:t>1.169,10</w:t>
            </w:r>
            <w:r w:rsidR="00FA1939" w:rsidRPr="009A4B90">
              <w:rPr>
                <w:color w:val="000000"/>
                <w:sz w:val="20"/>
                <w:szCs w:val="20"/>
                <w:lang w:val="hr-HR"/>
              </w:rPr>
              <w:t xml:space="preserve"> €</w:t>
            </w:r>
          </w:p>
        </w:tc>
        <w:tc>
          <w:tcPr>
            <w:tcW w:w="1134" w:type="dxa"/>
            <w:shd w:val="clear" w:color="000000" w:fill="FFFFFF"/>
            <w:noWrap/>
            <w:vAlign w:val="center"/>
            <w:hideMark/>
          </w:tcPr>
          <w:p w14:paraId="54F733DC" w14:textId="6222349B"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7B36E7">
              <w:rPr>
                <w:rFonts w:ascii="Calibri" w:hAnsi="Calibri" w:cs="Calibri"/>
                <w:color w:val="000000"/>
                <w:sz w:val="20"/>
                <w:szCs w:val="20"/>
                <w:lang w:val="hr-HR"/>
              </w:rPr>
              <w:t>4</w:t>
            </w:r>
          </w:p>
        </w:tc>
      </w:tr>
      <w:tr w:rsidR="00FA1939" w:rsidRPr="009A4B90" w14:paraId="23DF9B91" w14:textId="77777777" w:rsidTr="009A4B90">
        <w:trPr>
          <w:trHeight w:val="300"/>
        </w:trPr>
        <w:tc>
          <w:tcPr>
            <w:tcW w:w="889" w:type="dxa"/>
            <w:shd w:val="clear" w:color="auto" w:fill="auto"/>
            <w:noWrap/>
            <w:vAlign w:val="center"/>
          </w:tcPr>
          <w:p w14:paraId="0D592E15" w14:textId="77777777" w:rsidR="00FA1939" w:rsidRPr="009A4B90" w:rsidRDefault="00FA1939" w:rsidP="00FA1939">
            <w:pPr>
              <w:jc w:val="center"/>
              <w:rPr>
                <w:color w:val="000000"/>
                <w:sz w:val="20"/>
                <w:szCs w:val="20"/>
                <w:lang w:val="hr-HR"/>
              </w:rPr>
            </w:pPr>
            <w:r w:rsidRPr="009A4B90">
              <w:rPr>
                <w:color w:val="000000"/>
                <w:sz w:val="20"/>
                <w:szCs w:val="20"/>
                <w:lang w:val="hr-HR"/>
              </w:rPr>
              <w:t>423</w:t>
            </w:r>
          </w:p>
        </w:tc>
        <w:tc>
          <w:tcPr>
            <w:tcW w:w="3897" w:type="dxa"/>
            <w:shd w:val="clear" w:color="auto" w:fill="auto"/>
            <w:vAlign w:val="center"/>
          </w:tcPr>
          <w:p w14:paraId="31498FB5" w14:textId="77777777" w:rsidR="00FA1939" w:rsidRPr="009A4B90" w:rsidRDefault="00FA1939" w:rsidP="00FA1939">
            <w:pPr>
              <w:rPr>
                <w:color w:val="000000"/>
                <w:sz w:val="20"/>
                <w:szCs w:val="20"/>
                <w:lang w:val="hr-HR"/>
              </w:rPr>
            </w:pPr>
            <w:r w:rsidRPr="009A4B90">
              <w:rPr>
                <w:color w:val="000000"/>
                <w:sz w:val="20"/>
                <w:szCs w:val="20"/>
                <w:lang w:val="hr-HR"/>
              </w:rPr>
              <w:t>Prijevozna sredstva</w:t>
            </w:r>
          </w:p>
        </w:tc>
        <w:tc>
          <w:tcPr>
            <w:tcW w:w="1701" w:type="dxa"/>
            <w:shd w:val="clear" w:color="auto" w:fill="auto"/>
            <w:noWrap/>
            <w:vAlign w:val="center"/>
          </w:tcPr>
          <w:p w14:paraId="6E1ACF71" w14:textId="77777777" w:rsidR="00FA1939" w:rsidRPr="009A4B90" w:rsidRDefault="00FA1939" w:rsidP="00FA1939">
            <w:pPr>
              <w:jc w:val="right"/>
              <w:rPr>
                <w:color w:val="000000"/>
                <w:sz w:val="20"/>
                <w:szCs w:val="20"/>
                <w:lang w:val="hr-HR"/>
              </w:rPr>
            </w:pPr>
            <w:r w:rsidRPr="009A4B90">
              <w:rPr>
                <w:color w:val="000000"/>
                <w:sz w:val="20"/>
                <w:szCs w:val="20"/>
                <w:lang w:val="hr-HR"/>
              </w:rPr>
              <w:t>0,00 €</w:t>
            </w:r>
          </w:p>
        </w:tc>
        <w:tc>
          <w:tcPr>
            <w:tcW w:w="1559" w:type="dxa"/>
            <w:shd w:val="clear" w:color="auto" w:fill="auto"/>
            <w:noWrap/>
            <w:vAlign w:val="center"/>
          </w:tcPr>
          <w:p w14:paraId="15952734" w14:textId="77777777" w:rsidR="00FA1939" w:rsidRPr="009A4B90" w:rsidRDefault="00FA1939" w:rsidP="00FA1939">
            <w:pPr>
              <w:jc w:val="right"/>
              <w:rPr>
                <w:color w:val="000000"/>
                <w:sz w:val="20"/>
                <w:szCs w:val="20"/>
                <w:lang w:val="hr-HR"/>
              </w:rPr>
            </w:pPr>
            <w:r w:rsidRPr="009A4B90">
              <w:rPr>
                <w:color w:val="000000"/>
                <w:sz w:val="20"/>
                <w:szCs w:val="20"/>
                <w:lang w:val="hr-HR"/>
              </w:rPr>
              <w:t>0,00 €</w:t>
            </w:r>
          </w:p>
        </w:tc>
        <w:tc>
          <w:tcPr>
            <w:tcW w:w="1134" w:type="dxa"/>
            <w:shd w:val="clear" w:color="000000" w:fill="FFFFFF"/>
            <w:noWrap/>
            <w:vAlign w:val="center"/>
          </w:tcPr>
          <w:p w14:paraId="160DA0D4" w14:textId="77777777" w:rsidR="00FA1939" w:rsidRPr="009A4B90" w:rsidRDefault="00FA1939" w:rsidP="00FA1939">
            <w:pPr>
              <w:jc w:val="center"/>
              <w:rPr>
                <w:rFonts w:ascii="Calibri" w:hAnsi="Calibri" w:cs="Calibri"/>
                <w:color w:val="000000"/>
                <w:sz w:val="20"/>
                <w:szCs w:val="20"/>
                <w:lang w:val="hr-HR"/>
              </w:rPr>
            </w:pPr>
          </w:p>
        </w:tc>
      </w:tr>
      <w:tr w:rsidR="00FA1939" w:rsidRPr="009A4B90" w14:paraId="1E9E7CC7" w14:textId="77777777" w:rsidTr="009A4B90">
        <w:trPr>
          <w:trHeight w:val="315"/>
        </w:trPr>
        <w:tc>
          <w:tcPr>
            <w:tcW w:w="889" w:type="dxa"/>
            <w:shd w:val="clear" w:color="000000" w:fill="BFBFBF"/>
            <w:noWrap/>
            <w:vAlign w:val="center"/>
            <w:hideMark/>
          </w:tcPr>
          <w:p w14:paraId="545FC624"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3+4</w:t>
            </w:r>
          </w:p>
        </w:tc>
        <w:tc>
          <w:tcPr>
            <w:tcW w:w="3897" w:type="dxa"/>
            <w:shd w:val="clear" w:color="000000" w:fill="BFBFBF"/>
            <w:noWrap/>
            <w:vAlign w:val="center"/>
            <w:hideMark/>
          </w:tcPr>
          <w:p w14:paraId="79414351"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Ukupni rashodi poslovanja</w:t>
            </w:r>
          </w:p>
        </w:tc>
        <w:tc>
          <w:tcPr>
            <w:tcW w:w="1701" w:type="dxa"/>
            <w:shd w:val="clear" w:color="000000" w:fill="BFBFBF"/>
            <w:noWrap/>
            <w:vAlign w:val="center"/>
            <w:hideMark/>
          </w:tcPr>
          <w:p w14:paraId="57C07E60" w14:textId="1F8F769C"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w:t>
            </w:r>
            <w:r w:rsidR="000B019A">
              <w:rPr>
                <w:b/>
                <w:bCs/>
                <w:i/>
                <w:iCs/>
                <w:color w:val="000000"/>
                <w:sz w:val="20"/>
                <w:szCs w:val="20"/>
                <w:lang w:val="hr-HR"/>
              </w:rPr>
              <w:t>877</w:t>
            </w:r>
            <w:r w:rsidRPr="009A4B90">
              <w:rPr>
                <w:b/>
                <w:bCs/>
                <w:i/>
                <w:iCs/>
                <w:color w:val="000000"/>
                <w:sz w:val="20"/>
                <w:szCs w:val="20"/>
                <w:lang w:val="hr-HR"/>
              </w:rPr>
              <w:t>.</w:t>
            </w:r>
            <w:r w:rsidR="000B019A">
              <w:rPr>
                <w:b/>
                <w:bCs/>
                <w:i/>
                <w:iCs/>
                <w:color w:val="000000"/>
                <w:sz w:val="20"/>
                <w:szCs w:val="20"/>
                <w:lang w:val="hr-HR"/>
              </w:rPr>
              <w:t>941</w:t>
            </w:r>
            <w:r w:rsidRPr="009A4B90">
              <w:rPr>
                <w:b/>
                <w:bCs/>
                <w:i/>
                <w:iCs/>
                <w:color w:val="000000"/>
                <w:sz w:val="20"/>
                <w:szCs w:val="20"/>
                <w:lang w:val="hr-HR"/>
              </w:rPr>
              <w:t>,</w:t>
            </w:r>
            <w:r w:rsidR="000B019A">
              <w:rPr>
                <w:b/>
                <w:bCs/>
                <w:i/>
                <w:iCs/>
                <w:color w:val="000000"/>
                <w:sz w:val="20"/>
                <w:szCs w:val="20"/>
                <w:lang w:val="hr-HR"/>
              </w:rPr>
              <w:t>66</w:t>
            </w:r>
            <w:r w:rsidRPr="009A4B90">
              <w:rPr>
                <w:b/>
                <w:bCs/>
                <w:i/>
                <w:iCs/>
                <w:color w:val="000000"/>
                <w:sz w:val="20"/>
                <w:szCs w:val="20"/>
                <w:lang w:val="hr-HR"/>
              </w:rPr>
              <w:t xml:space="preserve"> €</w:t>
            </w:r>
          </w:p>
        </w:tc>
        <w:tc>
          <w:tcPr>
            <w:tcW w:w="1559" w:type="dxa"/>
            <w:shd w:val="clear" w:color="000000" w:fill="BFBFBF"/>
            <w:noWrap/>
            <w:vAlign w:val="center"/>
            <w:hideMark/>
          </w:tcPr>
          <w:p w14:paraId="0EBCFDC6" w14:textId="2E4CA9EC" w:rsidR="00FA1939" w:rsidRPr="009A4B90" w:rsidRDefault="008B66A9" w:rsidP="00FA1939">
            <w:pPr>
              <w:jc w:val="right"/>
              <w:rPr>
                <w:b/>
                <w:bCs/>
                <w:i/>
                <w:iCs/>
                <w:color w:val="000000"/>
                <w:sz w:val="20"/>
                <w:szCs w:val="20"/>
                <w:lang w:val="hr-HR"/>
              </w:rPr>
            </w:pPr>
            <w:r>
              <w:rPr>
                <w:b/>
                <w:bCs/>
                <w:i/>
                <w:iCs/>
                <w:color w:val="000000"/>
                <w:sz w:val="20"/>
                <w:szCs w:val="20"/>
                <w:lang w:val="hr-HR"/>
              </w:rPr>
              <w:t>2</w:t>
            </w:r>
            <w:r w:rsidR="00FA1939" w:rsidRPr="009A4B90">
              <w:rPr>
                <w:b/>
                <w:bCs/>
                <w:i/>
                <w:iCs/>
                <w:color w:val="000000"/>
                <w:sz w:val="20"/>
                <w:szCs w:val="20"/>
                <w:lang w:val="hr-HR"/>
              </w:rPr>
              <w:t>.</w:t>
            </w:r>
            <w:r>
              <w:rPr>
                <w:b/>
                <w:bCs/>
                <w:i/>
                <w:iCs/>
                <w:color w:val="000000"/>
                <w:sz w:val="20"/>
                <w:szCs w:val="20"/>
                <w:lang w:val="hr-HR"/>
              </w:rPr>
              <w:t>423</w:t>
            </w:r>
            <w:r w:rsidR="00FA1939" w:rsidRPr="009A4B90">
              <w:rPr>
                <w:b/>
                <w:bCs/>
                <w:i/>
                <w:iCs/>
                <w:color w:val="000000"/>
                <w:sz w:val="20"/>
                <w:szCs w:val="20"/>
                <w:lang w:val="hr-HR"/>
              </w:rPr>
              <w:t>.</w:t>
            </w:r>
            <w:r>
              <w:rPr>
                <w:b/>
                <w:bCs/>
                <w:i/>
                <w:iCs/>
                <w:color w:val="000000"/>
                <w:sz w:val="20"/>
                <w:szCs w:val="20"/>
                <w:lang w:val="hr-HR"/>
              </w:rPr>
              <w:t>023</w:t>
            </w:r>
            <w:r w:rsidR="00FA1939" w:rsidRPr="009A4B90">
              <w:rPr>
                <w:b/>
                <w:bCs/>
                <w:i/>
                <w:iCs/>
                <w:color w:val="000000"/>
                <w:sz w:val="20"/>
                <w:szCs w:val="20"/>
                <w:lang w:val="hr-HR"/>
              </w:rPr>
              <w:t>,</w:t>
            </w:r>
            <w:r>
              <w:rPr>
                <w:b/>
                <w:bCs/>
                <w:i/>
                <w:iCs/>
                <w:color w:val="000000"/>
                <w:sz w:val="20"/>
                <w:szCs w:val="20"/>
                <w:lang w:val="hr-HR"/>
              </w:rPr>
              <w:t>59</w:t>
            </w:r>
            <w:r w:rsidR="00FA1939" w:rsidRPr="009A4B90">
              <w:rPr>
                <w:b/>
                <w:bCs/>
                <w:i/>
                <w:iCs/>
                <w:color w:val="000000"/>
                <w:sz w:val="20"/>
                <w:szCs w:val="20"/>
                <w:lang w:val="hr-HR"/>
              </w:rPr>
              <w:t xml:space="preserve"> €</w:t>
            </w:r>
          </w:p>
        </w:tc>
        <w:tc>
          <w:tcPr>
            <w:tcW w:w="1134" w:type="dxa"/>
            <w:shd w:val="clear" w:color="000000" w:fill="BFBFBF"/>
            <w:noWrap/>
            <w:vAlign w:val="center"/>
            <w:hideMark/>
          </w:tcPr>
          <w:p w14:paraId="036040B1" w14:textId="66B0116B"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w:t>
            </w:r>
            <w:r w:rsidR="008B66A9">
              <w:rPr>
                <w:rFonts w:ascii="Calibri" w:hAnsi="Calibri" w:cs="Calibri"/>
                <w:color w:val="000000"/>
                <w:sz w:val="20"/>
                <w:szCs w:val="20"/>
                <w:lang w:val="hr-HR"/>
              </w:rPr>
              <w:t>29</w:t>
            </w:r>
          </w:p>
        </w:tc>
      </w:tr>
    </w:tbl>
    <w:p w14:paraId="3C459DB7" w14:textId="77777777" w:rsidR="00FA1939" w:rsidRDefault="00FA1939" w:rsidP="00D44842">
      <w:pPr>
        <w:pStyle w:val="Zaglavlje"/>
        <w:jc w:val="both"/>
        <w:rPr>
          <w:sz w:val="22"/>
          <w:szCs w:val="22"/>
          <w:lang w:val="hr-HR"/>
        </w:rPr>
      </w:pPr>
    </w:p>
    <w:p w14:paraId="79FE1DCB" w14:textId="7128F2A5" w:rsidR="0012217D" w:rsidRPr="0033486E" w:rsidRDefault="00D44842" w:rsidP="0012217D">
      <w:pPr>
        <w:pStyle w:val="Zaglavlje"/>
        <w:jc w:val="both"/>
        <w:rPr>
          <w:sz w:val="22"/>
          <w:szCs w:val="22"/>
          <w:lang w:val="hr-HR"/>
        </w:rPr>
      </w:pPr>
      <w:r w:rsidRPr="00F41EF9">
        <w:rPr>
          <w:sz w:val="22"/>
          <w:szCs w:val="22"/>
          <w:lang w:val="hr-HR"/>
        </w:rPr>
        <w:t xml:space="preserve">Ukupni rashodi poslovanja ostvareni su u iznosu od </w:t>
      </w:r>
      <w:r w:rsidR="00E44313">
        <w:rPr>
          <w:sz w:val="22"/>
          <w:szCs w:val="22"/>
          <w:lang w:val="hr-HR"/>
        </w:rPr>
        <w:t xml:space="preserve">2.421.854,49 </w:t>
      </w:r>
      <w:r w:rsidR="00E86297">
        <w:rPr>
          <w:sz w:val="22"/>
          <w:szCs w:val="22"/>
          <w:lang w:val="hr-HR"/>
        </w:rPr>
        <w:t>€</w:t>
      </w:r>
      <w:r>
        <w:rPr>
          <w:sz w:val="22"/>
          <w:szCs w:val="22"/>
          <w:lang w:val="hr-HR"/>
        </w:rPr>
        <w:t xml:space="preserve"> dok su u 202</w:t>
      </w:r>
      <w:r w:rsidR="00E44313">
        <w:rPr>
          <w:sz w:val="22"/>
          <w:szCs w:val="22"/>
          <w:lang w:val="hr-HR"/>
        </w:rPr>
        <w:t>4</w:t>
      </w:r>
      <w:r w:rsidRPr="00F41EF9">
        <w:rPr>
          <w:sz w:val="22"/>
          <w:szCs w:val="22"/>
          <w:lang w:val="hr-HR"/>
        </w:rPr>
        <w:t xml:space="preserve">. godini ostvareni u iznosu od </w:t>
      </w:r>
      <w:bookmarkStart w:id="4" w:name="OLE_LINK46"/>
      <w:bookmarkStart w:id="5" w:name="OLE_LINK47"/>
      <w:bookmarkStart w:id="6" w:name="OLE_LINK48"/>
      <w:r w:rsidR="00E44313">
        <w:rPr>
          <w:sz w:val="22"/>
          <w:szCs w:val="22"/>
          <w:lang w:val="hr-HR"/>
        </w:rPr>
        <w:t>1.869.616,71</w:t>
      </w:r>
      <w:r w:rsidR="00E44313" w:rsidRPr="00F41EF9">
        <w:rPr>
          <w:sz w:val="22"/>
          <w:szCs w:val="22"/>
          <w:lang w:val="hr-HR"/>
        </w:rPr>
        <w:t xml:space="preserve"> </w:t>
      </w:r>
      <w:bookmarkEnd w:id="4"/>
      <w:bookmarkEnd w:id="5"/>
      <w:bookmarkEnd w:id="6"/>
      <w:r w:rsidRPr="00F41EF9">
        <w:rPr>
          <w:sz w:val="22"/>
          <w:szCs w:val="22"/>
          <w:lang w:val="hr-HR"/>
        </w:rPr>
        <w:t xml:space="preserve"> </w:t>
      </w:r>
      <w:r w:rsidR="00E86297">
        <w:rPr>
          <w:sz w:val="22"/>
          <w:szCs w:val="22"/>
          <w:lang w:val="hr-HR"/>
        </w:rPr>
        <w:t>€</w:t>
      </w:r>
      <w:r w:rsidRPr="00F41EF9">
        <w:rPr>
          <w:sz w:val="22"/>
          <w:szCs w:val="22"/>
          <w:lang w:val="hr-HR"/>
        </w:rPr>
        <w:t xml:space="preserve">, </w:t>
      </w:r>
      <w:r>
        <w:rPr>
          <w:sz w:val="22"/>
          <w:szCs w:val="22"/>
          <w:lang w:val="hr-HR"/>
        </w:rPr>
        <w:t xml:space="preserve">što predstavlja povećanje  od </w:t>
      </w:r>
      <w:r w:rsidR="00E44313">
        <w:rPr>
          <w:sz w:val="22"/>
          <w:szCs w:val="22"/>
          <w:lang w:val="hr-HR"/>
        </w:rPr>
        <w:t>29</w:t>
      </w:r>
      <w:r w:rsidRPr="00F41EF9">
        <w:rPr>
          <w:sz w:val="22"/>
          <w:szCs w:val="22"/>
          <w:lang w:val="hr-HR"/>
        </w:rPr>
        <w:t>%</w:t>
      </w:r>
      <w:r w:rsidR="00E86297">
        <w:rPr>
          <w:sz w:val="22"/>
          <w:szCs w:val="22"/>
          <w:lang w:val="hr-HR"/>
        </w:rPr>
        <w:t xml:space="preserve"> i ostvarenje</w:t>
      </w:r>
      <w:r w:rsidR="004B4D7F">
        <w:rPr>
          <w:sz w:val="22"/>
          <w:szCs w:val="22"/>
          <w:lang w:val="hr-HR"/>
        </w:rPr>
        <w:t xml:space="preserve"> tekućeg</w:t>
      </w:r>
      <w:r w:rsidR="00E86297">
        <w:rPr>
          <w:sz w:val="22"/>
          <w:szCs w:val="22"/>
          <w:lang w:val="hr-HR"/>
        </w:rPr>
        <w:t xml:space="preserve"> plana za 202</w:t>
      </w:r>
      <w:r w:rsidR="00E44313">
        <w:rPr>
          <w:sz w:val="22"/>
          <w:szCs w:val="22"/>
          <w:lang w:val="hr-HR"/>
        </w:rPr>
        <w:t>5</w:t>
      </w:r>
      <w:r w:rsidR="00E86297">
        <w:rPr>
          <w:sz w:val="22"/>
          <w:szCs w:val="22"/>
          <w:lang w:val="hr-HR"/>
        </w:rPr>
        <w:t>. godinu u iznosu od 4</w:t>
      </w:r>
      <w:r w:rsidR="00E44313">
        <w:rPr>
          <w:sz w:val="22"/>
          <w:szCs w:val="22"/>
          <w:lang w:val="hr-HR"/>
        </w:rPr>
        <w:t>8</w:t>
      </w:r>
      <w:r w:rsidR="00E86297">
        <w:rPr>
          <w:sz w:val="22"/>
          <w:szCs w:val="22"/>
          <w:lang w:val="hr-HR"/>
        </w:rPr>
        <w:t>%.</w:t>
      </w:r>
      <w:r w:rsidR="0012217D" w:rsidRPr="0012217D">
        <w:rPr>
          <w:sz w:val="22"/>
          <w:szCs w:val="22"/>
          <w:lang w:val="hr-HR"/>
        </w:rPr>
        <w:t xml:space="preserve"> </w:t>
      </w:r>
      <w:r w:rsidR="0012217D" w:rsidRPr="0033486E">
        <w:rPr>
          <w:sz w:val="22"/>
          <w:szCs w:val="22"/>
          <w:lang w:val="hr-HR"/>
        </w:rPr>
        <w:t>Ukupni rashodi uključuju rashode za plaće za redovni rad u iznosu 1.668.079,79 €, ostalih rashoda za zaposlene u iznosu 103.170,33 €, doprinosa na plaće za obvezno zdravstveno osiguranje u iznosu 251.494,64 €, materijalnih troškova u iznosu 396.793,80 €, financijskih rashoda u iznosu od 2.315,95 € te rashoda za nabavu nefinancijske imovine u iznosu od 1.169,10 €.</w:t>
      </w:r>
    </w:p>
    <w:p w14:paraId="2BC80D0C" w14:textId="40DAEF24" w:rsidR="00FE7167" w:rsidRDefault="00FE7167" w:rsidP="00FE7167">
      <w:pPr>
        <w:pStyle w:val="Zaglavlje"/>
        <w:jc w:val="both"/>
        <w:rPr>
          <w:sz w:val="22"/>
          <w:szCs w:val="22"/>
          <w:lang w:val="hr-HR"/>
        </w:rPr>
      </w:pPr>
      <w:r>
        <w:rPr>
          <w:sz w:val="22"/>
          <w:szCs w:val="22"/>
          <w:lang w:val="hr-HR"/>
        </w:rPr>
        <w:t>Povećanje se odnosi  na rashode za zaposlene, materijal i sirovine te materijal i dijelove za tekuće i investicijsko održavanje, sitni inventar i zdravstvene i veterinarske usluge.</w:t>
      </w:r>
      <w:r w:rsidRPr="00355702">
        <w:rPr>
          <w:sz w:val="22"/>
          <w:szCs w:val="22"/>
          <w:lang w:val="hr-HR"/>
        </w:rPr>
        <w:t xml:space="preserve"> </w:t>
      </w:r>
      <w:r>
        <w:rPr>
          <w:sz w:val="22"/>
          <w:szCs w:val="22"/>
          <w:lang w:val="hr-HR"/>
        </w:rPr>
        <w:t xml:space="preserve">Usluge tekućeg održavanja odnose se na redovne servise lifta, video nadzora, klima uređaja, kuhinjskih </w:t>
      </w:r>
      <w:proofErr w:type="spellStart"/>
      <w:r>
        <w:rPr>
          <w:sz w:val="22"/>
          <w:szCs w:val="22"/>
          <w:lang w:val="hr-HR"/>
        </w:rPr>
        <w:t>napa</w:t>
      </w:r>
      <w:proofErr w:type="spellEnd"/>
      <w:r>
        <w:rPr>
          <w:sz w:val="22"/>
          <w:szCs w:val="22"/>
          <w:lang w:val="hr-HR"/>
        </w:rPr>
        <w:t xml:space="preserve">, održavanja opreme, popravka raznih uređaja kao što su perilica za suđe, perilica rublja, rashladni uređaji,  i sl. </w:t>
      </w:r>
    </w:p>
    <w:p w14:paraId="5FE70282" w14:textId="77777777" w:rsidR="00D44842" w:rsidRDefault="00D44842" w:rsidP="00D44842">
      <w:pPr>
        <w:pStyle w:val="Zaglavlje"/>
        <w:jc w:val="both"/>
        <w:rPr>
          <w:b/>
          <w:sz w:val="22"/>
          <w:szCs w:val="22"/>
          <w:lang w:val="hr-HR"/>
        </w:rPr>
      </w:pPr>
      <w:r w:rsidRPr="00EE1A75">
        <w:rPr>
          <w:b/>
          <w:sz w:val="22"/>
          <w:szCs w:val="22"/>
          <w:lang w:val="hr-HR"/>
        </w:rPr>
        <w:lastRenderedPageBreak/>
        <w:t xml:space="preserve"> </w:t>
      </w:r>
      <w:r>
        <w:rPr>
          <w:b/>
          <w:sz w:val="22"/>
          <w:szCs w:val="22"/>
          <w:lang w:val="hr-HR"/>
        </w:rPr>
        <w:t>R</w:t>
      </w:r>
      <w:r w:rsidRPr="00EE1A75">
        <w:rPr>
          <w:b/>
          <w:sz w:val="22"/>
          <w:szCs w:val="22"/>
          <w:lang w:val="hr-HR"/>
        </w:rPr>
        <w:t>ashodi za zaposlene</w:t>
      </w:r>
    </w:p>
    <w:p w14:paraId="0E9E49D9" w14:textId="0C7C9E91" w:rsidR="000C07F0" w:rsidRDefault="00D44842" w:rsidP="000C07F0">
      <w:pPr>
        <w:jc w:val="both"/>
        <w:rPr>
          <w:sz w:val="22"/>
          <w:szCs w:val="22"/>
          <w:lang w:val="hr-HR"/>
        </w:rPr>
      </w:pPr>
      <w:r>
        <w:rPr>
          <w:sz w:val="22"/>
          <w:szCs w:val="22"/>
          <w:lang w:val="hr-HR"/>
        </w:rPr>
        <w:t xml:space="preserve"> </w:t>
      </w:r>
      <w:r w:rsidR="000C07F0">
        <w:rPr>
          <w:sz w:val="22"/>
          <w:szCs w:val="22"/>
          <w:lang w:val="hr-HR"/>
        </w:rPr>
        <w:t>Rashodi za zaposlene iznose 2.022.744,76 € što predstavlja povećanje u odnosu na 2024. godinu 37% kad su iznosili  1.476.190,67 €. Za bruto plaće utrošeno je 1.668.079,79 €. Prosječan broj zaposlenih na osnovu stanja na početku i na kraju izvještajnog razdoblja iznosi 156 zaposlenika.</w:t>
      </w:r>
    </w:p>
    <w:p w14:paraId="6983CD31" w14:textId="77777777" w:rsidR="000C07F0" w:rsidRDefault="000C07F0" w:rsidP="000C07F0">
      <w:pPr>
        <w:jc w:val="both"/>
        <w:rPr>
          <w:lang w:val="hr-HR"/>
        </w:rPr>
      </w:pPr>
      <w:r>
        <w:rPr>
          <w:sz w:val="22"/>
          <w:szCs w:val="22"/>
          <w:lang w:val="hr-HR"/>
        </w:rPr>
        <w:t xml:space="preserve">Ostali rashodi za zaposlene odnosno materijalna prava radnika iznose 103.170,33 € a odnose se na isplatu jubilarnih nagrada ostvarenih u izvještajnom razdoblju , dara u naravi,  potpora u slučaju smrti članova uže obitelji i potpore radnicima </w:t>
      </w:r>
      <w:r w:rsidRPr="00A530F9">
        <w:rPr>
          <w:sz w:val="22"/>
          <w:szCs w:val="22"/>
          <w:lang w:val="hr-HR"/>
        </w:rPr>
        <w:t>zbog neprekin</w:t>
      </w:r>
      <w:r>
        <w:rPr>
          <w:sz w:val="22"/>
          <w:szCs w:val="22"/>
          <w:lang w:val="hr-HR"/>
        </w:rPr>
        <w:t xml:space="preserve">utog bolovanja dužeg od 90 dana, prehrane radnika te otpremnine za odlazak u mirovinu. </w:t>
      </w:r>
      <w:r>
        <w:rPr>
          <w:lang w:val="hr-HR"/>
        </w:rPr>
        <w:t xml:space="preserve"> </w:t>
      </w:r>
    </w:p>
    <w:p w14:paraId="0063B5F5" w14:textId="68EA27BC" w:rsidR="000C07F0" w:rsidRPr="00A530F9" w:rsidRDefault="000C07F0" w:rsidP="000C07F0">
      <w:pPr>
        <w:jc w:val="both"/>
        <w:rPr>
          <w:sz w:val="22"/>
          <w:szCs w:val="22"/>
          <w:lang w:val="hr-HR"/>
        </w:rPr>
      </w:pPr>
      <w:r w:rsidRPr="00A530F9">
        <w:rPr>
          <w:sz w:val="22"/>
          <w:szCs w:val="22"/>
          <w:lang w:val="hr-HR"/>
        </w:rPr>
        <w:t>Doprinosi za obvezno zd</w:t>
      </w:r>
      <w:r>
        <w:rPr>
          <w:sz w:val="22"/>
          <w:szCs w:val="22"/>
          <w:lang w:val="hr-HR"/>
        </w:rPr>
        <w:t xml:space="preserve">ravstveno osiguranje povećani su 39% te iznose 251.494,64 € dok su u 2024. godini iznosili 181.119,34 </w:t>
      </w:r>
      <w:r w:rsidRPr="00A530F9">
        <w:rPr>
          <w:sz w:val="22"/>
          <w:szCs w:val="22"/>
          <w:lang w:val="hr-HR"/>
        </w:rPr>
        <w:t xml:space="preserve"> </w:t>
      </w:r>
      <w:r>
        <w:rPr>
          <w:sz w:val="22"/>
          <w:szCs w:val="22"/>
          <w:lang w:val="hr-HR"/>
        </w:rPr>
        <w:t>€ razlog je povećanje  bruto plaća radnika kao i istek oslobođenja plaćanja doprinosa na plaće za radnike zaposlene na neodređeno vrijeme mlađe od 30 godina.</w:t>
      </w:r>
    </w:p>
    <w:p w14:paraId="0C4833BA" w14:textId="77777777" w:rsidR="000C07F0" w:rsidRDefault="000C07F0" w:rsidP="000C07F0">
      <w:pPr>
        <w:jc w:val="both"/>
        <w:rPr>
          <w:sz w:val="22"/>
          <w:szCs w:val="22"/>
          <w:lang w:val="hr-HR"/>
        </w:rPr>
      </w:pPr>
      <w:r>
        <w:rPr>
          <w:sz w:val="22"/>
          <w:szCs w:val="22"/>
          <w:lang w:val="hr-HR"/>
        </w:rPr>
        <w:t xml:space="preserve"> </w:t>
      </w:r>
    </w:p>
    <w:p w14:paraId="5E517871" w14:textId="77777777" w:rsidR="000C07F0" w:rsidRDefault="000C07F0" w:rsidP="00FE7167">
      <w:pPr>
        <w:jc w:val="both"/>
        <w:rPr>
          <w:sz w:val="22"/>
          <w:szCs w:val="22"/>
          <w:lang w:val="hr-HR"/>
        </w:rPr>
      </w:pPr>
    </w:p>
    <w:p w14:paraId="184D1721" w14:textId="77777777" w:rsidR="00D44842" w:rsidRPr="00185652" w:rsidRDefault="00D44842" w:rsidP="00D44842">
      <w:pPr>
        <w:pStyle w:val="Zaglavlje"/>
        <w:jc w:val="both"/>
        <w:rPr>
          <w:b/>
          <w:sz w:val="22"/>
          <w:szCs w:val="22"/>
          <w:lang w:val="hr-HR"/>
        </w:rPr>
      </w:pPr>
      <w:r w:rsidRPr="00185652">
        <w:rPr>
          <w:b/>
          <w:sz w:val="22"/>
          <w:szCs w:val="22"/>
          <w:lang w:val="hr-HR"/>
        </w:rPr>
        <w:t xml:space="preserve"> Materijalni rashodi</w:t>
      </w:r>
    </w:p>
    <w:p w14:paraId="4A936FA1" w14:textId="67A86D3E" w:rsidR="0026722A" w:rsidRPr="0026722A" w:rsidRDefault="0026722A" w:rsidP="0026722A">
      <w:pPr>
        <w:jc w:val="both"/>
        <w:rPr>
          <w:sz w:val="22"/>
          <w:szCs w:val="22"/>
          <w:lang w:val="hr-HR"/>
        </w:rPr>
      </w:pPr>
      <w:r w:rsidRPr="0026722A">
        <w:rPr>
          <w:sz w:val="22"/>
          <w:szCs w:val="22"/>
          <w:lang w:val="hr-HR"/>
        </w:rPr>
        <w:t xml:space="preserve">Ova skupina rashoda povećala se u ukupnom iznosu </w:t>
      </w:r>
      <w:r w:rsidR="00576DA8">
        <w:rPr>
          <w:sz w:val="22"/>
          <w:szCs w:val="22"/>
          <w:lang w:val="hr-HR"/>
        </w:rPr>
        <w:t>2</w:t>
      </w:r>
      <w:r w:rsidRPr="0026722A">
        <w:rPr>
          <w:sz w:val="22"/>
          <w:szCs w:val="22"/>
          <w:lang w:val="hr-HR"/>
        </w:rPr>
        <w:t xml:space="preserve"> % i iznosi 396.792,80 €, dok je za 2024. godinu iznos bio 390.777,91 €. Službenih putovanja  bilo je minimalno iz razloga što su stručna usavršavanja održana online predavanjima te su rashodi za usavršavanje povećana. Naknada za prijevoz radnika na posao i s posla iznosi 35.344,63 € dok je u 2024. godini iznosila 35.692,28 € iznos je neznatno smanjen. Obračun troškova prijevoza na posao i s posla obračunavao se 0,18 € po prijeđenom kilometru za udaljenost od mjesta stanovanja do mjesta rada.</w:t>
      </w:r>
    </w:p>
    <w:p w14:paraId="152E5905" w14:textId="77777777" w:rsidR="0026722A" w:rsidRPr="0026722A" w:rsidRDefault="0026722A" w:rsidP="0026722A">
      <w:pPr>
        <w:jc w:val="both"/>
        <w:rPr>
          <w:sz w:val="22"/>
          <w:szCs w:val="22"/>
          <w:lang w:val="hr-HR"/>
        </w:rPr>
      </w:pPr>
    </w:p>
    <w:p w14:paraId="2E19CD04" w14:textId="2BF55A28" w:rsidR="0026722A" w:rsidRPr="0026722A" w:rsidRDefault="0026722A" w:rsidP="0026722A">
      <w:pPr>
        <w:shd w:val="clear" w:color="auto" w:fill="FFFFFF"/>
        <w:jc w:val="both"/>
        <w:rPr>
          <w:sz w:val="22"/>
          <w:szCs w:val="22"/>
          <w:lang w:val="hr-HR"/>
        </w:rPr>
      </w:pPr>
      <w:r w:rsidRPr="0026722A">
        <w:rPr>
          <w:sz w:val="22"/>
          <w:szCs w:val="22"/>
          <w:lang w:val="hr-HR"/>
        </w:rPr>
        <w:t xml:space="preserve"> Rashodi za materijal i energiju iznose  242.013,11 € i smanjeni  su u odnosu na 2024. godinu </w:t>
      </w:r>
      <w:r>
        <w:rPr>
          <w:sz w:val="22"/>
          <w:szCs w:val="22"/>
          <w:lang w:val="hr-HR"/>
        </w:rPr>
        <w:t>3</w:t>
      </w:r>
      <w:r w:rsidRPr="0026722A">
        <w:rPr>
          <w:sz w:val="22"/>
          <w:szCs w:val="22"/>
          <w:lang w:val="hr-HR"/>
        </w:rPr>
        <w:t xml:space="preserve">%. Rashodi za uredski materijal i energiju su povećani  dok su rashodi za sitan inventar smanjeni iz razloga što nije bilo potrebe za nabavom budući je u  izvještajnom razdoblju prethodne godine nabavljeno </w:t>
      </w:r>
      <w:r>
        <w:rPr>
          <w:sz w:val="22"/>
          <w:szCs w:val="22"/>
          <w:lang w:val="hr-HR"/>
        </w:rPr>
        <w:t xml:space="preserve">dovoljno </w:t>
      </w:r>
      <w:r w:rsidRPr="0026722A">
        <w:rPr>
          <w:sz w:val="22"/>
          <w:szCs w:val="22"/>
          <w:lang w:val="hr-HR"/>
        </w:rPr>
        <w:t>opreme i sitnog inventara.</w:t>
      </w:r>
    </w:p>
    <w:p w14:paraId="2EDACEC6" w14:textId="77777777" w:rsidR="0026722A" w:rsidRPr="0026722A" w:rsidRDefault="0026722A" w:rsidP="0026722A">
      <w:pPr>
        <w:jc w:val="both"/>
        <w:rPr>
          <w:sz w:val="22"/>
          <w:szCs w:val="22"/>
          <w:lang w:val="hr-HR"/>
        </w:rPr>
      </w:pPr>
      <w:r w:rsidRPr="0026722A">
        <w:rPr>
          <w:sz w:val="22"/>
          <w:szCs w:val="22"/>
          <w:lang w:val="hr-HR"/>
        </w:rPr>
        <w:t xml:space="preserve"> U izvještajnom razdoblju utrošeno je za nabavu sitnog inventara 6.966,78 € čime je nabavljena  didaktička oprema, igračke, plahte, zvučnici, kuhinjski uređaji kao što su mikseri, vage, suđe, hidrantski ormarići.</w:t>
      </w:r>
    </w:p>
    <w:p w14:paraId="1B3B3DE0" w14:textId="77777777" w:rsidR="0026722A" w:rsidRPr="0026722A" w:rsidRDefault="0026722A" w:rsidP="0026722A">
      <w:pPr>
        <w:tabs>
          <w:tab w:val="center" w:pos="4536"/>
          <w:tab w:val="right" w:pos="9072"/>
        </w:tabs>
        <w:jc w:val="both"/>
        <w:rPr>
          <w:b/>
          <w:sz w:val="22"/>
          <w:szCs w:val="22"/>
          <w:lang w:val="hr-HR"/>
        </w:rPr>
      </w:pPr>
    </w:p>
    <w:p w14:paraId="361123B4" w14:textId="77777777" w:rsidR="0026722A" w:rsidRDefault="0026722A" w:rsidP="004E6C8B">
      <w:pPr>
        <w:pStyle w:val="Zaglavlje"/>
        <w:jc w:val="both"/>
        <w:rPr>
          <w:b/>
          <w:sz w:val="22"/>
          <w:szCs w:val="22"/>
          <w:lang w:val="hr-HR"/>
        </w:rPr>
      </w:pPr>
    </w:p>
    <w:p w14:paraId="38703B46" w14:textId="77777777" w:rsidR="00D44842" w:rsidRPr="009C691B" w:rsidRDefault="00D44842" w:rsidP="00D44842">
      <w:pPr>
        <w:pStyle w:val="Zaglavlje"/>
        <w:jc w:val="both"/>
        <w:rPr>
          <w:b/>
          <w:sz w:val="22"/>
          <w:szCs w:val="22"/>
          <w:lang w:val="hr-HR"/>
        </w:rPr>
      </w:pPr>
      <w:r>
        <w:rPr>
          <w:b/>
          <w:sz w:val="22"/>
          <w:szCs w:val="22"/>
          <w:lang w:val="hr-HR"/>
        </w:rPr>
        <w:t xml:space="preserve"> </w:t>
      </w:r>
      <w:r w:rsidRPr="009C691B">
        <w:rPr>
          <w:b/>
          <w:sz w:val="22"/>
          <w:szCs w:val="22"/>
          <w:lang w:val="hr-HR"/>
        </w:rPr>
        <w:t>Rashodi za usluge</w:t>
      </w:r>
    </w:p>
    <w:p w14:paraId="1073CBE8" w14:textId="58CD2EC7" w:rsidR="00CD7C41" w:rsidRDefault="00CD7C41" w:rsidP="00CD7C41">
      <w:pPr>
        <w:jc w:val="both"/>
        <w:rPr>
          <w:sz w:val="22"/>
          <w:szCs w:val="22"/>
          <w:lang w:val="hr-HR"/>
        </w:rPr>
      </w:pPr>
      <w:r>
        <w:rPr>
          <w:sz w:val="22"/>
          <w:szCs w:val="22"/>
          <w:lang w:val="hr-HR"/>
        </w:rPr>
        <w:t>Ova skupina rashoda iznosi 102.446,69 € što u odnosu na 2024. godinu s iznosom  od 88.130,10 € bilježi povećanje  od 16 %.</w:t>
      </w:r>
      <w:r w:rsidRPr="00D24E68">
        <w:rPr>
          <w:sz w:val="22"/>
          <w:szCs w:val="22"/>
          <w:lang w:val="hr-HR"/>
        </w:rPr>
        <w:t xml:space="preserve"> Rashodi za </w:t>
      </w:r>
      <w:r>
        <w:rPr>
          <w:sz w:val="22"/>
          <w:szCs w:val="22"/>
          <w:lang w:val="hr-HR"/>
        </w:rPr>
        <w:t xml:space="preserve"> zakupnine i najamnine umanjeni su iz razloga što je  područni vrtić Njivice u 2025. godini oslobođen plaćanja najma za građevinske objekte ( sastavljen je ugovor o kompenzaciji) budući je Općina Omišalj ulagala u zgradu koja nije u njihovom vlasništvu te je  oslobođena plaćanja najma. Usluge tekućeg i investicijskog održavanja iznose 35.519,05 € dok su u 2024. godini iznosile 33.010,06 € što znači da je u izvještajnom razdoblju bilo nešto više potrebe za redovnim i vanrednim održavanjem. Zdravstvene i veterinarske usluge iznose 11.031,56 € dok su 2024.godine  iznosile 9.741,02 € razlog povećanja je zakonska odredba analize vode  na prisutnost </w:t>
      </w:r>
      <w:proofErr w:type="spellStart"/>
      <w:r>
        <w:rPr>
          <w:sz w:val="22"/>
          <w:szCs w:val="22"/>
          <w:lang w:val="hr-HR"/>
        </w:rPr>
        <w:t>legionele</w:t>
      </w:r>
      <w:proofErr w:type="spellEnd"/>
      <w:r>
        <w:rPr>
          <w:sz w:val="22"/>
          <w:szCs w:val="22"/>
          <w:lang w:val="hr-HR"/>
        </w:rPr>
        <w:t xml:space="preserve"> u svim objektima. Računalne usluge za održavanje informatičkog programa povećane su zbog obima posla. Intelektualne usluge povećane su iz razloga što su zaposleni studenti na studentski ugovor za obavljanje poslova radi zamjene odsutnih radnika odnosno odgojitelja.</w:t>
      </w:r>
    </w:p>
    <w:p w14:paraId="329ED9FF" w14:textId="77777777" w:rsidR="00CD7C41" w:rsidRDefault="00CD7C41" w:rsidP="00DD62FF">
      <w:pPr>
        <w:jc w:val="both"/>
      </w:pPr>
    </w:p>
    <w:p w14:paraId="589E9B34" w14:textId="77777777" w:rsidR="00A44E1A" w:rsidRPr="00292224" w:rsidRDefault="00A44E1A" w:rsidP="00A44E1A">
      <w:pPr>
        <w:pStyle w:val="Zaglavlje"/>
        <w:jc w:val="both"/>
        <w:rPr>
          <w:b/>
          <w:sz w:val="22"/>
          <w:szCs w:val="22"/>
          <w:lang w:val="hr-HR"/>
        </w:rPr>
      </w:pPr>
      <w:r w:rsidRPr="00292224">
        <w:rPr>
          <w:b/>
          <w:sz w:val="22"/>
          <w:szCs w:val="22"/>
          <w:lang w:val="hr-HR"/>
        </w:rPr>
        <w:t>Ostali nespomenuti rashodi poslovanja</w:t>
      </w:r>
    </w:p>
    <w:p w14:paraId="04AA9CB8" w14:textId="7EFEC0DD" w:rsidR="009B4846" w:rsidRPr="00292224" w:rsidRDefault="009B4846" w:rsidP="009B4846">
      <w:pPr>
        <w:jc w:val="both"/>
        <w:rPr>
          <w:sz w:val="22"/>
          <w:szCs w:val="22"/>
          <w:lang w:val="hr-HR"/>
        </w:rPr>
      </w:pPr>
      <w:r w:rsidRPr="00292224">
        <w:rPr>
          <w:sz w:val="22"/>
          <w:szCs w:val="22"/>
          <w:lang w:val="hr-HR"/>
        </w:rPr>
        <w:t xml:space="preserve">Ova skupina rashoda  </w:t>
      </w:r>
      <w:r>
        <w:rPr>
          <w:sz w:val="22"/>
          <w:szCs w:val="22"/>
          <w:lang w:val="hr-HR"/>
        </w:rPr>
        <w:t>smanjena je</w:t>
      </w:r>
      <w:r w:rsidRPr="00292224">
        <w:rPr>
          <w:sz w:val="22"/>
          <w:szCs w:val="22"/>
          <w:lang w:val="hr-HR"/>
        </w:rPr>
        <w:t xml:space="preserve"> za </w:t>
      </w:r>
      <w:r>
        <w:rPr>
          <w:sz w:val="22"/>
          <w:szCs w:val="22"/>
          <w:lang w:val="hr-HR"/>
        </w:rPr>
        <w:t>19</w:t>
      </w:r>
      <w:r w:rsidRPr="00292224">
        <w:rPr>
          <w:sz w:val="22"/>
          <w:szCs w:val="22"/>
          <w:lang w:val="hr-HR"/>
        </w:rPr>
        <w:t xml:space="preserve"> % i iznosi </w:t>
      </w:r>
      <w:r>
        <w:rPr>
          <w:sz w:val="22"/>
          <w:szCs w:val="22"/>
          <w:lang w:val="hr-HR"/>
        </w:rPr>
        <w:t>9.853,87</w:t>
      </w:r>
      <w:r w:rsidRPr="00292224">
        <w:rPr>
          <w:sz w:val="22"/>
          <w:szCs w:val="22"/>
          <w:lang w:val="hr-HR"/>
        </w:rPr>
        <w:t xml:space="preserve"> </w:t>
      </w:r>
      <w:r>
        <w:rPr>
          <w:sz w:val="22"/>
          <w:szCs w:val="22"/>
          <w:lang w:val="hr-HR"/>
        </w:rPr>
        <w:t>€.</w:t>
      </w:r>
      <w:r w:rsidRPr="00292224">
        <w:rPr>
          <w:sz w:val="22"/>
          <w:szCs w:val="22"/>
          <w:lang w:val="hr-HR"/>
        </w:rPr>
        <w:t xml:space="preserve"> Rashodi se odnose  na premije osiguranja u iznosu </w:t>
      </w:r>
      <w:r>
        <w:rPr>
          <w:sz w:val="22"/>
          <w:szCs w:val="22"/>
          <w:lang w:val="hr-HR"/>
        </w:rPr>
        <w:t>3.787,00</w:t>
      </w:r>
      <w:r w:rsidRPr="00292224">
        <w:rPr>
          <w:sz w:val="22"/>
          <w:szCs w:val="22"/>
          <w:lang w:val="hr-HR"/>
        </w:rPr>
        <w:t xml:space="preserve"> </w:t>
      </w:r>
      <w:r>
        <w:rPr>
          <w:sz w:val="22"/>
          <w:szCs w:val="22"/>
          <w:lang w:val="hr-HR"/>
        </w:rPr>
        <w:t>€ što predstavlja smanjenje iz razloga što nakon provedenog postupka jednostavne nabave još nije zaprimljen račun. N</w:t>
      </w:r>
      <w:r w:rsidRPr="00292224">
        <w:rPr>
          <w:sz w:val="22"/>
          <w:szCs w:val="22"/>
          <w:lang w:val="hr-HR"/>
        </w:rPr>
        <w:t xml:space="preserve">aknada koja se plaća za nezapošljavanje </w:t>
      </w:r>
      <w:r>
        <w:rPr>
          <w:sz w:val="22"/>
          <w:szCs w:val="22"/>
          <w:lang w:val="hr-HR"/>
        </w:rPr>
        <w:t xml:space="preserve">soba s </w:t>
      </w:r>
      <w:r w:rsidRPr="00292224">
        <w:rPr>
          <w:sz w:val="22"/>
          <w:szCs w:val="22"/>
          <w:lang w:val="hr-HR"/>
        </w:rPr>
        <w:t>invalid</w:t>
      </w:r>
      <w:r>
        <w:rPr>
          <w:sz w:val="22"/>
          <w:szCs w:val="22"/>
          <w:lang w:val="hr-HR"/>
        </w:rPr>
        <w:t>itetom izračunava se prema iznosu minimalne plaće u RH te je promjenjiva. M</w:t>
      </w:r>
      <w:r w:rsidRPr="00292224">
        <w:rPr>
          <w:sz w:val="22"/>
          <w:szCs w:val="22"/>
          <w:lang w:val="hr-HR"/>
        </w:rPr>
        <w:t>jesečn</w:t>
      </w:r>
      <w:r>
        <w:rPr>
          <w:sz w:val="22"/>
          <w:szCs w:val="22"/>
          <w:lang w:val="hr-HR"/>
        </w:rPr>
        <w:t>i iznos po jednoj nezaposlenoj osobi iznosi 194,00 €</w:t>
      </w:r>
      <w:r w:rsidRPr="00010F54">
        <w:rPr>
          <w:sz w:val="22"/>
          <w:szCs w:val="22"/>
          <w:lang w:val="hr-HR"/>
        </w:rPr>
        <w:t xml:space="preserve"> </w:t>
      </w:r>
      <w:r w:rsidRPr="00292224">
        <w:rPr>
          <w:sz w:val="22"/>
          <w:szCs w:val="22"/>
          <w:lang w:val="hr-HR"/>
        </w:rPr>
        <w:t xml:space="preserve">a plaća se za </w:t>
      </w:r>
      <w:r>
        <w:rPr>
          <w:sz w:val="22"/>
          <w:szCs w:val="22"/>
          <w:lang w:val="hr-HR"/>
        </w:rPr>
        <w:t>četiri</w:t>
      </w:r>
      <w:r w:rsidRPr="00292224">
        <w:rPr>
          <w:sz w:val="22"/>
          <w:szCs w:val="22"/>
          <w:lang w:val="hr-HR"/>
        </w:rPr>
        <w:t xml:space="preserve"> osobe</w:t>
      </w:r>
      <w:r>
        <w:rPr>
          <w:sz w:val="22"/>
          <w:szCs w:val="22"/>
          <w:lang w:val="hr-HR"/>
        </w:rPr>
        <w:t xml:space="preserve"> što ukupno iznosi </w:t>
      </w:r>
      <w:r w:rsidRPr="00292224">
        <w:rPr>
          <w:sz w:val="22"/>
          <w:szCs w:val="22"/>
          <w:lang w:val="hr-HR"/>
        </w:rPr>
        <w:t xml:space="preserve"> </w:t>
      </w:r>
      <w:r>
        <w:rPr>
          <w:sz w:val="22"/>
          <w:szCs w:val="22"/>
          <w:lang w:val="hr-HR"/>
        </w:rPr>
        <w:t>776,00 €</w:t>
      </w:r>
      <w:r w:rsidRPr="00292224">
        <w:rPr>
          <w:sz w:val="22"/>
          <w:szCs w:val="22"/>
          <w:lang w:val="hr-HR"/>
        </w:rPr>
        <w:t xml:space="preserve">. </w:t>
      </w:r>
    </w:p>
    <w:p w14:paraId="214B69A7" w14:textId="77777777" w:rsidR="009B4846" w:rsidRDefault="009B4846" w:rsidP="00F35A5E">
      <w:pPr>
        <w:rPr>
          <w:sz w:val="22"/>
          <w:szCs w:val="22"/>
          <w:lang w:val="hr-HR"/>
        </w:rPr>
      </w:pPr>
    </w:p>
    <w:p w14:paraId="226256B6" w14:textId="77777777" w:rsidR="00A44E1A" w:rsidRPr="00292224" w:rsidRDefault="00A44E1A" w:rsidP="00A44E1A">
      <w:pPr>
        <w:pStyle w:val="Zaglavlje"/>
        <w:jc w:val="both"/>
        <w:rPr>
          <w:b/>
          <w:sz w:val="22"/>
          <w:szCs w:val="22"/>
          <w:lang w:val="hr-HR"/>
        </w:rPr>
      </w:pPr>
      <w:r w:rsidRPr="00292224">
        <w:rPr>
          <w:b/>
          <w:sz w:val="22"/>
          <w:szCs w:val="22"/>
          <w:lang w:val="hr-HR"/>
        </w:rPr>
        <w:t xml:space="preserve">Financijski rashodi </w:t>
      </w:r>
    </w:p>
    <w:p w14:paraId="54056763" w14:textId="1CAFB21B" w:rsidR="00566B21" w:rsidRDefault="00566B21" w:rsidP="00566B21">
      <w:pPr>
        <w:rPr>
          <w:sz w:val="22"/>
          <w:szCs w:val="22"/>
          <w:lang w:val="hr-HR"/>
        </w:rPr>
      </w:pPr>
      <w:r w:rsidRPr="00292224">
        <w:rPr>
          <w:sz w:val="22"/>
          <w:szCs w:val="22"/>
          <w:lang w:val="hr-HR"/>
        </w:rPr>
        <w:t xml:space="preserve">Ovi rashodi odnose se na bankarske usluge i usluge platnog prometa te iznose </w:t>
      </w:r>
      <w:r>
        <w:rPr>
          <w:sz w:val="22"/>
          <w:szCs w:val="22"/>
          <w:lang w:val="hr-HR"/>
        </w:rPr>
        <w:t>2</w:t>
      </w:r>
      <w:r w:rsidRPr="00292224">
        <w:rPr>
          <w:sz w:val="22"/>
          <w:szCs w:val="22"/>
          <w:lang w:val="hr-HR"/>
        </w:rPr>
        <w:t>.</w:t>
      </w:r>
      <w:r>
        <w:rPr>
          <w:sz w:val="22"/>
          <w:szCs w:val="22"/>
          <w:lang w:val="hr-HR"/>
        </w:rPr>
        <w:t>315,93</w:t>
      </w:r>
      <w:r w:rsidRPr="00292224">
        <w:rPr>
          <w:sz w:val="22"/>
          <w:szCs w:val="22"/>
          <w:lang w:val="hr-HR"/>
        </w:rPr>
        <w:t xml:space="preserve"> </w:t>
      </w:r>
      <w:r>
        <w:rPr>
          <w:sz w:val="22"/>
          <w:szCs w:val="22"/>
          <w:lang w:val="hr-HR"/>
        </w:rPr>
        <w:t>€</w:t>
      </w:r>
      <w:r w:rsidRPr="00292224">
        <w:rPr>
          <w:sz w:val="22"/>
          <w:szCs w:val="22"/>
          <w:lang w:val="hr-HR"/>
        </w:rPr>
        <w:t xml:space="preserve"> </w:t>
      </w:r>
      <w:r>
        <w:rPr>
          <w:sz w:val="22"/>
          <w:szCs w:val="22"/>
          <w:lang w:val="hr-HR"/>
        </w:rPr>
        <w:t xml:space="preserve">i smanjeni su u </w:t>
      </w:r>
      <w:r w:rsidRPr="00292224">
        <w:rPr>
          <w:sz w:val="22"/>
          <w:szCs w:val="22"/>
          <w:lang w:val="hr-HR"/>
        </w:rPr>
        <w:t>odnosu na 202</w:t>
      </w:r>
      <w:r>
        <w:rPr>
          <w:sz w:val="22"/>
          <w:szCs w:val="22"/>
          <w:lang w:val="hr-HR"/>
        </w:rPr>
        <w:t>4</w:t>
      </w:r>
      <w:r w:rsidRPr="00292224">
        <w:rPr>
          <w:sz w:val="22"/>
          <w:szCs w:val="22"/>
          <w:lang w:val="hr-HR"/>
        </w:rPr>
        <w:t xml:space="preserve">. godinu </w:t>
      </w:r>
      <w:r>
        <w:rPr>
          <w:sz w:val="22"/>
          <w:szCs w:val="22"/>
          <w:lang w:val="hr-HR"/>
        </w:rPr>
        <w:t xml:space="preserve">13% </w:t>
      </w:r>
      <w:r w:rsidRPr="00292224">
        <w:rPr>
          <w:sz w:val="22"/>
          <w:szCs w:val="22"/>
          <w:lang w:val="hr-HR"/>
        </w:rPr>
        <w:t xml:space="preserve">kad su iznosili </w:t>
      </w:r>
      <w:r>
        <w:rPr>
          <w:sz w:val="22"/>
          <w:szCs w:val="22"/>
          <w:lang w:val="hr-HR"/>
        </w:rPr>
        <w:t>2</w:t>
      </w:r>
      <w:r w:rsidRPr="00292224">
        <w:rPr>
          <w:sz w:val="22"/>
          <w:szCs w:val="22"/>
          <w:lang w:val="hr-HR"/>
        </w:rPr>
        <w:t>.</w:t>
      </w:r>
      <w:r>
        <w:rPr>
          <w:sz w:val="22"/>
          <w:szCs w:val="22"/>
          <w:lang w:val="hr-HR"/>
        </w:rPr>
        <w:t>648</w:t>
      </w:r>
      <w:r w:rsidRPr="00292224">
        <w:rPr>
          <w:sz w:val="22"/>
          <w:szCs w:val="22"/>
          <w:lang w:val="hr-HR"/>
        </w:rPr>
        <w:t>,</w:t>
      </w:r>
      <w:r>
        <w:rPr>
          <w:sz w:val="22"/>
          <w:szCs w:val="22"/>
          <w:lang w:val="hr-HR"/>
        </w:rPr>
        <w:t>13</w:t>
      </w:r>
      <w:r w:rsidRPr="00292224">
        <w:rPr>
          <w:sz w:val="22"/>
          <w:szCs w:val="22"/>
          <w:lang w:val="hr-HR"/>
        </w:rPr>
        <w:t xml:space="preserve"> </w:t>
      </w:r>
      <w:r>
        <w:rPr>
          <w:sz w:val="22"/>
          <w:szCs w:val="22"/>
          <w:lang w:val="hr-HR"/>
        </w:rPr>
        <w:t>€, razlog tome je niža bankarska naknada. Plan za 2025. godinu iznosi 5.800,00 € što predstavlja ostvarenje plana 40%.</w:t>
      </w:r>
    </w:p>
    <w:p w14:paraId="4783704A" w14:textId="77777777" w:rsidR="00566B21" w:rsidRDefault="00566B21" w:rsidP="003F08C4">
      <w:pPr>
        <w:tabs>
          <w:tab w:val="center" w:pos="4536"/>
          <w:tab w:val="right" w:pos="9072"/>
        </w:tabs>
        <w:jc w:val="both"/>
        <w:rPr>
          <w:sz w:val="22"/>
          <w:szCs w:val="22"/>
          <w:lang w:val="hr-HR"/>
        </w:rPr>
      </w:pPr>
    </w:p>
    <w:p w14:paraId="16CC8F31" w14:textId="77777777" w:rsidR="00A44E1A" w:rsidRDefault="00A44E1A" w:rsidP="00A44E1A">
      <w:pPr>
        <w:tabs>
          <w:tab w:val="center" w:pos="4536"/>
          <w:tab w:val="right" w:pos="9072"/>
        </w:tabs>
        <w:jc w:val="both"/>
        <w:rPr>
          <w:b/>
          <w:sz w:val="22"/>
          <w:szCs w:val="22"/>
          <w:lang w:val="hr-HR"/>
        </w:rPr>
      </w:pPr>
      <w:r w:rsidRPr="00292224">
        <w:rPr>
          <w:b/>
          <w:sz w:val="22"/>
          <w:szCs w:val="22"/>
          <w:lang w:val="hr-HR"/>
        </w:rPr>
        <w:t>Rashodi za nabavu nefinancijske imovine</w:t>
      </w:r>
    </w:p>
    <w:p w14:paraId="64429729" w14:textId="12A8554A" w:rsidR="00D7118E" w:rsidRPr="00292224" w:rsidRDefault="00D7118E" w:rsidP="00D7118E">
      <w:pPr>
        <w:tabs>
          <w:tab w:val="left" w:pos="2925"/>
        </w:tabs>
        <w:jc w:val="both"/>
        <w:rPr>
          <w:sz w:val="22"/>
          <w:szCs w:val="22"/>
          <w:lang w:val="hr-HR"/>
        </w:rPr>
      </w:pPr>
      <w:r w:rsidRPr="00292224">
        <w:rPr>
          <w:sz w:val="22"/>
          <w:szCs w:val="22"/>
          <w:lang w:val="hr-HR"/>
        </w:rPr>
        <w:t xml:space="preserve">Rashodi za nabavu nefinancijske imovine ostvareni su u iznosu od </w:t>
      </w:r>
      <w:r>
        <w:rPr>
          <w:sz w:val="22"/>
          <w:szCs w:val="22"/>
          <w:lang w:val="hr-HR"/>
        </w:rPr>
        <w:t>1.169,10</w:t>
      </w:r>
      <w:r w:rsidRPr="00292224">
        <w:rPr>
          <w:sz w:val="22"/>
          <w:szCs w:val="22"/>
          <w:lang w:val="hr-HR"/>
        </w:rPr>
        <w:t xml:space="preserve"> </w:t>
      </w:r>
      <w:r>
        <w:rPr>
          <w:sz w:val="22"/>
          <w:szCs w:val="22"/>
          <w:lang w:val="hr-HR"/>
        </w:rPr>
        <w:t>€</w:t>
      </w:r>
      <w:r w:rsidRPr="00292224">
        <w:rPr>
          <w:sz w:val="22"/>
          <w:szCs w:val="22"/>
          <w:lang w:val="hr-HR"/>
        </w:rPr>
        <w:t xml:space="preserve">. Za  potrebe  </w:t>
      </w:r>
      <w:r>
        <w:rPr>
          <w:sz w:val="22"/>
          <w:szCs w:val="22"/>
          <w:lang w:val="hr-HR"/>
        </w:rPr>
        <w:t>matičnog vrtića u Krku</w:t>
      </w:r>
      <w:r w:rsidRPr="00292224">
        <w:rPr>
          <w:sz w:val="22"/>
          <w:szCs w:val="22"/>
          <w:lang w:val="hr-HR"/>
        </w:rPr>
        <w:t xml:space="preserve"> nabavljen</w:t>
      </w:r>
      <w:r>
        <w:rPr>
          <w:sz w:val="22"/>
          <w:szCs w:val="22"/>
          <w:lang w:val="hr-HR"/>
        </w:rPr>
        <w:t xml:space="preserve">a je </w:t>
      </w:r>
      <w:proofErr w:type="spellStart"/>
      <w:r>
        <w:rPr>
          <w:sz w:val="22"/>
          <w:szCs w:val="22"/>
          <w:lang w:val="hr-HR"/>
        </w:rPr>
        <w:t>poluprofesionalna</w:t>
      </w:r>
      <w:proofErr w:type="spellEnd"/>
      <w:r>
        <w:rPr>
          <w:sz w:val="22"/>
          <w:szCs w:val="22"/>
          <w:lang w:val="hr-HR"/>
        </w:rPr>
        <w:t xml:space="preserve"> perilica rublja. Nabava ostale opreme planira se u drugom polugodištu 2025. godine.</w:t>
      </w:r>
    </w:p>
    <w:p w14:paraId="1185BE11" w14:textId="77777777" w:rsidR="00D7118E" w:rsidRDefault="00D7118E" w:rsidP="00A44E1A">
      <w:pPr>
        <w:tabs>
          <w:tab w:val="center" w:pos="4536"/>
          <w:tab w:val="right" w:pos="9072"/>
        </w:tabs>
        <w:jc w:val="both"/>
        <w:rPr>
          <w:b/>
          <w:sz w:val="22"/>
          <w:szCs w:val="22"/>
          <w:lang w:val="hr-HR"/>
        </w:rPr>
      </w:pPr>
    </w:p>
    <w:p w14:paraId="728E9DA4" w14:textId="77777777" w:rsidR="00D7118E" w:rsidRDefault="00D7118E" w:rsidP="00A44E1A">
      <w:pPr>
        <w:tabs>
          <w:tab w:val="center" w:pos="4536"/>
          <w:tab w:val="right" w:pos="9072"/>
        </w:tabs>
        <w:jc w:val="both"/>
        <w:rPr>
          <w:b/>
          <w:sz w:val="22"/>
          <w:szCs w:val="22"/>
          <w:lang w:val="hr-HR"/>
        </w:rPr>
      </w:pPr>
    </w:p>
    <w:p w14:paraId="64690B60" w14:textId="0EEA8626" w:rsidR="00C820F4" w:rsidRDefault="008B35FF" w:rsidP="00647F7B">
      <w:pPr>
        <w:tabs>
          <w:tab w:val="left" w:pos="2925"/>
        </w:tabs>
        <w:jc w:val="both"/>
        <w:rPr>
          <w:sz w:val="22"/>
          <w:szCs w:val="22"/>
          <w:lang w:val="hr-HR"/>
        </w:rPr>
      </w:pPr>
      <w:r>
        <w:rPr>
          <w:noProof/>
        </w:rPr>
        <w:drawing>
          <wp:inline distT="0" distB="0" distL="0" distR="0" wp14:anchorId="56291DB2" wp14:editId="06FF34A9">
            <wp:extent cx="6004560" cy="3181985"/>
            <wp:effectExtent l="0" t="0" r="15240" b="18415"/>
            <wp:docPr id="1221408511" name="Grafikon 1">
              <a:extLst xmlns:a="http://schemas.openxmlformats.org/drawingml/2006/main">
                <a:ext uri="{FF2B5EF4-FFF2-40B4-BE49-F238E27FC236}">
                  <a16:creationId xmlns:a16="http://schemas.microsoft.com/office/drawing/2014/main" id="{1C7F9F85-6FC5-B65E-3757-12258FAA8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429" w:type="dxa"/>
        <w:tblInd w:w="108" w:type="dxa"/>
        <w:tblLook w:val="04A0" w:firstRow="1" w:lastRow="0" w:firstColumn="1" w:lastColumn="0" w:noHBand="0" w:noVBand="1"/>
      </w:tblPr>
      <w:tblGrid>
        <w:gridCol w:w="809"/>
        <w:gridCol w:w="2099"/>
        <w:gridCol w:w="1843"/>
        <w:gridCol w:w="1701"/>
        <w:gridCol w:w="1906"/>
        <w:gridCol w:w="1071"/>
      </w:tblGrid>
      <w:tr w:rsidR="009414B1" w14:paraId="7D6D057F" w14:textId="77777777" w:rsidTr="008B35FF">
        <w:trPr>
          <w:trHeight w:val="289"/>
        </w:trPr>
        <w:tc>
          <w:tcPr>
            <w:tcW w:w="9429" w:type="dxa"/>
            <w:gridSpan w:val="6"/>
            <w:tcBorders>
              <w:top w:val="nil"/>
              <w:left w:val="nil"/>
              <w:bottom w:val="single" w:sz="8" w:space="0" w:color="auto"/>
              <w:right w:val="nil"/>
            </w:tcBorders>
            <w:shd w:val="clear" w:color="auto" w:fill="auto"/>
            <w:noWrap/>
            <w:vAlign w:val="bottom"/>
            <w:hideMark/>
          </w:tcPr>
          <w:p w14:paraId="19A01456" w14:textId="75D7FDE8" w:rsidR="009414B1" w:rsidRDefault="009414B1" w:rsidP="00C22F1C">
            <w:pPr>
              <w:rPr>
                <w:b/>
                <w:bCs/>
                <w:color w:val="000000"/>
                <w:sz w:val="22"/>
                <w:szCs w:val="22"/>
                <w:lang w:val="hr-HR" w:eastAsia="hr-HR"/>
              </w:rPr>
            </w:pPr>
            <w:r>
              <w:rPr>
                <w:b/>
                <w:bCs/>
                <w:color w:val="000000"/>
                <w:sz w:val="22"/>
                <w:szCs w:val="22"/>
                <w:lang w:val="hr-HR" w:eastAsia="hr-HR"/>
              </w:rPr>
              <w:t>Tablica 4. Prihodi prema izvorima financiranja</w:t>
            </w:r>
          </w:p>
          <w:p w14:paraId="2D38F71E" w14:textId="77777777" w:rsidR="009414B1" w:rsidRDefault="009414B1" w:rsidP="00C22F1C">
            <w:pPr>
              <w:rPr>
                <w:b/>
                <w:bCs/>
                <w:color w:val="000000"/>
                <w:sz w:val="22"/>
                <w:szCs w:val="22"/>
                <w:lang w:val="hr-HR" w:eastAsia="hr-HR"/>
              </w:rPr>
            </w:pPr>
          </w:p>
        </w:tc>
      </w:tr>
      <w:tr w:rsidR="009414B1" w:rsidRPr="009A4B90" w14:paraId="417067ED" w14:textId="77777777" w:rsidTr="008B35FF">
        <w:trPr>
          <w:trHeight w:val="275"/>
        </w:trPr>
        <w:tc>
          <w:tcPr>
            <w:tcW w:w="809" w:type="dxa"/>
            <w:tcBorders>
              <w:top w:val="nil"/>
              <w:left w:val="single" w:sz="8" w:space="0" w:color="auto"/>
              <w:bottom w:val="single" w:sz="4" w:space="0" w:color="auto"/>
              <w:right w:val="nil"/>
            </w:tcBorders>
            <w:shd w:val="clear" w:color="auto" w:fill="BFBFBF"/>
            <w:noWrap/>
            <w:vAlign w:val="center"/>
            <w:hideMark/>
          </w:tcPr>
          <w:p w14:paraId="5A78E3E7" w14:textId="4A78BA93" w:rsidR="009414B1" w:rsidRPr="009A4B90" w:rsidRDefault="009A4B90" w:rsidP="00C22F1C">
            <w:pPr>
              <w:jc w:val="center"/>
              <w:rPr>
                <w:color w:val="000000"/>
                <w:sz w:val="22"/>
                <w:szCs w:val="22"/>
                <w:lang w:val="hr-HR"/>
              </w:rPr>
            </w:pPr>
            <w:r w:rsidRPr="009A4B90">
              <w:rPr>
                <w:color w:val="000000"/>
                <w:sz w:val="22"/>
                <w:szCs w:val="22"/>
                <w:lang w:val="hr-HR"/>
              </w:rPr>
              <w:t>R</w:t>
            </w:r>
            <w:r w:rsidR="009414B1" w:rsidRPr="009A4B90">
              <w:rPr>
                <w:color w:val="000000"/>
                <w:sz w:val="22"/>
                <w:szCs w:val="22"/>
                <w:lang w:val="hr-HR"/>
              </w:rPr>
              <w:t>ed.br</w:t>
            </w:r>
          </w:p>
        </w:tc>
        <w:tc>
          <w:tcPr>
            <w:tcW w:w="2099" w:type="dxa"/>
            <w:tcBorders>
              <w:top w:val="nil"/>
              <w:left w:val="single" w:sz="8" w:space="0" w:color="auto"/>
              <w:bottom w:val="single" w:sz="4" w:space="0" w:color="auto"/>
              <w:right w:val="single" w:sz="8" w:space="0" w:color="auto"/>
            </w:tcBorders>
            <w:shd w:val="clear" w:color="auto" w:fill="BFBFBF"/>
            <w:noWrap/>
            <w:vAlign w:val="center"/>
            <w:hideMark/>
          </w:tcPr>
          <w:p w14:paraId="6ACBFE0A" w14:textId="77777777" w:rsidR="009414B1" w:rsidRPr="009A4B90" w:rsidRDefault="009414B1" w:rsidP="00C22F1C">
            <w:pPr>
              <w:jc w:val="center"/>
              <w:rPr>
                <w:color w:val="000000"/>
                <w:sz w:val="20"/>
                <w:szCs w:val="20"/>
                <w:lang w:val="hr-HR"/>
              </w:rPr>
            </w:pPr>
            <w:r w:rsidRPr="009A4B90">
              <w:rPr>
                <w:color w:val="000000"/>
                <w:sz w:val="20"/>
                <w:szCs w:val="20"/>
                <w:lang w:val="hr-HR"/>
              </w:rPr>
              <w:t>VRSTA IZVORA</w:t>
            </w:r>
          </w:p>
        </w:tc>
        <w:tc>
          <w:tcPr>
            <w:tcW w:w="1843" w:type="dxa"/>
            <w:tcBorders>
              <w:top w:val="nil"/>
              <w:left w:val="nil"/>
              <w:bottom w:val="single" w:sz="4" w:space="0" w:color="auto"/>
              <w:right w:val="single" w:sz="4" w:space="0" w:color="auto"/>
            </w:tcBorders>
            <w:shd w:val="clear" w:color="auto" w:fill="BFBFBF"/>
            <w:noWrap/>
            <w:vAlign w:val="center"/>
            <w:hideMark/>
          </w:tcPr>
          <w:p w14:paraId="2EDDBFC4" w14:textId="6B253C2B" w:rsidR="009414B1" w:rsidRPr="009A4B90" w:rsidRDefault="009414B1" w:rsidP="00C22F1C">
            <w:pPr>
              <w:jc w:val="center"/>
              <w:rPr>
                <w:color w:val="000000"/>
                <w:sz w:val="20"/>
                <w:szCs w:val="20"/>
                <w:lang w:val="hr-HR"/>
              </w:rPr>
            </w:pPr>
            <w:r w:rsidRPr="009A4B90">
              <w:rPr>
                <w:color w:val="000000"/>
                <w:sz w:val="20"/>
                <w:szCs w:val="20"/>
                <w:lang w:val="hr-HR"/>
              </w:rPr>
              <w:t>Izvršenje proračuna 1-6/202</w:t>
            </w:r>
            <w:r w:rsidR="00DD1B98">
              <w:rPr>
                <w:color w:val="000000"/>
                <w:sz w:val="20"/>
                <w:szCs w:val="20"/>
                <w:lang w:val="hr-HR"/>
              </w:rPr>
              <w:t>4</w:t>
            </w:r>
            <w:r w:rsidRPr="009A4B90">
              <w:rPr>
                <w:color w:val="000000"/>
                <w:sz w:val="20"/>
                <w:szCs w:val="20"/>
                <w:lang w:val="hr-HR"/>
              </w:rPr>
              <w:t>.</w:t>
            </w:r>
          </w:p>
        </w:tc>
        <w:tc>
          <w:tcPr>
            <w:tcW w:w="1701" w:type="dxa"/>
            <w:tcBorders>
              <w:top w:val="nil"/>
              <w:left w:val="nil"/>
              <w:bottom w:val="single" w:sz="4" w:space="0" w:color="auto"/>
              <w:right w:val="nil"/>
            </w:tcBorders>
            <w:shd w:val="clear" w:color="auto" w:fill="BFBFBF"/>
            <w:noWrap/>
            <w:vAlign w:val="center"/>
            <w:hideMark/>
          </w:tcPr>
          <w:p w14:paraId="0C129F0B" w14:textId="48AD0136" w:rsidR="009414B1" w:rsidRPr="009A4B90" w:rsidRDefault="00DD1B98" w:rsidP="00C22F1C">
            <w:pPr>
              <w:jc w:val="center"/>
              <w:rPr>
                <w:color w:val="000000"/>
                <w:sz w:val="20"/>
                <w:szCs w:val="20"/>
                <w:lang w:val="hr-HR"/>
              </w:rPr>
            </w:pPr>
            <w:r>
              <w:rPr>
                <w:color w:val="000000"/>
                <w:sz w:val="20"/>
                <w:szCs w:val="20"/>
                <w:lang w:val="hr-HR"/>
              </w:rPr>
              <w:t>Izvorni plan</w:t>
            </w:r>
            <w:r w:rsidR="009414B1" w:rsidRPr="009A4B90">
              <w:rPr>
                <w:color w:val="000000"/>
                <w:sz w:val="20"/>
                <w:szCs w:val="20"/>
                <w:lang w:val="hr-HR"/>
              </w:rPr>
              <w:t xml:space="preserve"> 202</w:t>
            </w:r>
            <w:r>
              <w:rPr>
                <w:color w:val="000000"/>
                <w:sz w:val="20"/>
                <w:szCs w:val="20"/>
                <w:lang w:val="hr-HR"/>
              </w:rPr>
              <w:t>5</w:t>
            </w:r>
            <w:r w:rsidR="009414B1" w:rsidRPr="009A4B90">
              <w:rPr>
                <w:color w:val="000000"/>
                <w:sz w:val="20"/>
                <w:szCs w:val="20"/>
                <w:lang w:val="hr-HR"/>
              </w:rPr>
              <w:t>.</w:t>
            </w:r>
          </w:p>
        </w:tc>
        <w:tc>
          <w:tcPr>
            <w:tcW w:w="1906" w:type="dxa"/>
            <w:tcBorders>
              <w:top w:val="nil"/>
              <w:left w:val="single" w:sz="8" w:space="0" w:color="auto"/>
              <w:bottom w:val="single" w:sz="4" w:space="0" w:color="auto"/>
              <w:right w:val="single" w:sz="8" w:space="0" w:color="auto"/>
            </w:tcBorders>
            <w:shd w:val="clear" w:color="auto" w:fill="BFBFBF"/>
            <w:noWrap/>
            <w:vAlign w:val="center"/>
            <w:hideMark/>
          </w:tcPr>
          <w:p w14:paraId="416C1E7F" w14:textId="1391AD05" w:rsidR="009414B1" w:rsidRPr="009A4B90" w:rsidRDefault="009414B1" w:rsidP="00C22F1C">
            <w:pPr>
              <w:jc w:val="center"/>
              <w:rPr>
                <w:color w:val="000000"/>
                <w:sz w:val="20"/>
                <w:szCs w:val="20"/>
                <w:lang w:val="hr-HR"/>
              </w:rPr>
            </w:pPr>
            <w:r w:rsidRPr="009A4B90">
              <w:rPr>
                <w:color w:val="000000"/>
                <w:sz w:val="20"/>
                <w:szCs w:val="20"/>
                <w:lang w:val="hr-HR"/>
              </w:rPr>
              <w:t>Izvršenje proračuna za  1-6/202</w:t>
            </w:r>
            <w:r w:rsidR="00DD1B98">
              <w:rPr>
                <w:color w:val="000000"/>
                <w:sz w:val="20"/>
                <w:szCs w:val="20"/>
                <w:lang w:val="hr-HR"/>
              </w:rPr>
              <w:t>5</w:t>
            </w:r>
            <w:r w:rsidRPr="009A4B90">
              <w:rPr>
                <w:color w:val="000000"/>
                <w:sz w:val="20"/>
                <w:szCs w:val="20"/>
                <w:lang w:val="hr-HR"/>
              </w:rPr>
              <w:t>.</w:t>
            </w:r>
          </w:p>
        </w:tc>
        <w:tc>
          <w:tcPr>
            <w:tcW w:w="1071" w:type="dxa"/>
            <w:tcBorders>
              <w:top w:val="nil"/>
              <w:left w:val="nil"/>
              <w:bottom w:val="single" w:sz="4" w:space="0" w:color="auto"/>
              <w:right w:val="single" w:sz="8" w:space="0" w:color="auto"/>
            </w:tcBorders>
            <w:shd w:val="clear" w:color="auto" w:fill="BFBFBF"/>
            <w:noWrap/>
            <w:vAlign w:val="center"/>
          </w:tcPr>
          <w:p w14:paraId="6BDABC22" w14:textId="77777777" w:rsidR="009414B1" w:rsidRPr="009A4B90" w:rsidRDefault="009414B1" w:rsidP="00C22F1C">
            <w:pPr>
              <w:rPr>
                <w:color w:val="000000"/>
                <w:sz w:val="22"/>
                <w:szCs w:val="22"/>
                <w:lang w:val="hr-HR"/>
              </w:rPr>
            </w:pPr>
            <w:r w:rsidRPr="009A4B90">
              <w:rPr>
                <w:color w:val="000000"/>
                <w:sz w:val="22"/>
                <w:szCs w:val="22"/>
                <w:lang w:val="hr-HR"/>
              </w:rPr>
              <w:t>Index 5/3</w:t>
            </w:r>
          </w:p>
        </w:tc>
      </w:tr>
      <w:tr w:rsidR="009414B1" w:rsidRPr="009A4B90" w14:paraId="1DF1A499" w14:textId="77777777" w:rsidTr="008B35FF">
        <w:trPr>
          <w:trHeight w:val="234"/>
        </w:trPr>
        <w:tc>
          <w:tcPr>
            <w:tcW w:w="809" w:type="dxa"/>
            <w:tcBorders>
              <w:top w:val="nil"/>
              <w:left w:val="single" w:sz="8" w:space="0" w:color="auto"/>
              <w:bottom w:val="single" w:sz="8" w:space="0" w:color="auto"/>
              <w:right w:val="nil"/>
            </w:tcBorders>
            <w:shd w:val="clear" w:color="auto" w:fill="auto"/>
            <w:noWrap/>
            <w:vAlign w:val="center"/>
            <w:hideMark/>
          </w:tcPr>
          <w:p w14:paraId="104FC771" w14:textId="77777777" w:rsidR="009414B1" w:rsidRPr="009A4B90" w:rsidRDefault="009414B1" w:rsidP="00C22F1C">
            <w:pPr>
              <w:jc w:val="center"/>
              <w:rPr>
                <w:color w:val="000000"/>
                <w:sz w:val="18"/>
                <w:szCs w:val="18"/>
                <w:lang w:val="hr-HR"/>
              </w:rPr>
            </w:pPr>
            <w:r w:rsidRPr="009A4B90">
              <w:rPr>
                <w:color w:val="000000"/>
                <w:sz w:val="18"/>
                <w:szCs w:val="18"/>
                <w:lang w:val="hr-HR"/>
              </w:rPr>
              <w:t>1</w:t>
            </w:r>
          </w:p>
        </w:tc>
        <w:tc>
          <w:tcPr>
            <w:tcW w:w="2099" w:type="dxa"/>
            <w:tcBorders>
              <w:top w:val="nil"/>
              <w:left w:val="single" w:sz="8" w:space="0" w:color="auto"/>
              <w:bottom w:val="single" w:sz="8" w:space="0" w:color="auto"/>
              <w:right w:val="single" w:sz="8" w:space="0" w:color="auto"/>
            </w:tcBorders>
            <w:shd w:val="clear" w:color="auto" w:fill="auto"/>
            <w:noWrap/>
            <w:vAlign w:val="center"/>
            <w:hideMark/>
          </w:tcPr>
          <w:p w14:paraId="5FA2F372" w14:textId="77777777" w:rsidR="009414B1" w:rsidRPr="009A4B90" w:rsidRDefault="009414B1" w:rsidP="00C22F1C">
            <w:pPr>
              <w:jc w:val="center"/>
              <w:rPr>
                <w:color w:val="000000"/>
                <w:sz w:val="18"/>
                <w:szCs w:val="18"/>
                <w:lang w:val="hr-HR"/>
              </w:rPr>
            </w:pPr>
            <w:r w:rsidRPr="009A4B90">
              <w:rPr>
                <w:color w:val="000000"/>
                <w:sz w:val="18"/>
                <w:szCs w:val="18"/>
                <w:lang w:val="hr-HR"/>
              </w:rPr>
              <w:t>2</w:t>
            </w:r>
          </w:p>
        </w:tc>
        <w:tc>
          <w:tcPr>
            <w:tcW w:w="1843" w:type="dxa"/>
            <w:tcBorders>
              <w:top w:val="nil"/>
              <w:left w:val="nil"/>
              <w:bottom w:val="single" w:sz="8" w:space="0" w:color="auto"/>
              <w:right w:val="single" w:sz="4" w:space="0" w:color="auto"/>
            </w:tcBorders>
            <w:shd w:val="clear" w:color="auto" w:fill="auto"/>
            <w:noWrap/>
            <w:vAlign w:val="center"/>
            <w:hideMark/>
          </w:tcPr>
          <w:p w14:paraId="09623B80" w14:textId="77777777" w:rsidR="009414B1" w:rsidRPr="009A4B90" w:rsidRDefault="009414B1" w:rsidP="00C22F1C">
            <w:pPr>
              <w:jc w:val="center"/>
              <w:rPr>
                <w:color w:val="000000"/>
                <w:sz w:val="18"/>
                <w:szCs w:val="18"/>
                <w:lang w:val="hr-HR"/>
              </w:rPr>
            </w:pPr>
            <w:r w:rsidRPr="009A4B90">
              <w:rPr>
                <w:color w:val="000000"/>
                <w:sz w:val="18"/>
                <w:szCs w:val="18"/>
                <w:lang w:val="hr-HR"/>
              </w:rPr>
              <w:t>3</w:t>
            </w:r>
          </w:p>
        </w:tc>
        <w:tc>
          <w:tcPr>
            <w:tcW w:w="1701" w:type="dxa"/>
            <w:tcBorders>
              <w:top w:val="nil"/>
              <w:left w:val="nil"/>
              <w:bottom w:val="single" w:sz="8" w:space="0" w:color="auto"/>
              <w:right w:val="nil"/>
            </w:tcBorders>
            <w:shd w:val="clear" w:color="auto" w:fill="auto"/>
            <w:noWrap/>
            <w:vAlign w:val="center"/>
            <w:hideMark/>
          </w:tcPr>
          <w:p w14:paraId="1891643C" w14:textId="77777777" w:rsidR="009414B1" w:rsidRPr="009A4B90" w:rsidRDefault="009414B1" w:rsidP="00C22F1C">
            <w:pPr>
              <w:jc w:val="center"/>
              <w:rPr>
                <w:color w:val="000000"/>
                <w:sz w:val="18"/>
                <w:szCs w:val="18"/>
                <w:lang w:val="hr-HR"/>
              </w:rPr>
            </w:pPr>
            <w:r w:rsidRPr="009A4B90">
              <w:rPr>
                <w:color w:val="000000"/>
                <w:sz w:val="18"/>
                <w:szCs w:val="18"/>
                <w:lang w:val="hr-HR"/>
              </w:rPr>
              <w:t>4</w:t>
            </w:r>
          </w:p>
        </w:tc>
        <w:tc>
          <w:tcPr>
            <w:tcW w:w="1906" w:type="dxa"/>
            <w:tcBorders>
              <w:top w:val="nil"/>
              <w:left w:val="single" w:sz="8" w:space="0" w:color="auto"/>
              <w:bottom w:val="single" w:sz="8" w:space="0" w:color="auto"/>
              <w:right w:val="single" w:sz="8" w:space="0" w:color="auto"/>
            </w:tcBorders>
            <w:shd w:val="clear" w:color="auto" w:fill="auto"/>
            <w:noWrap/>
            <w:vAlign w:val="center"/>
            <w:hideMark/>
          </w:tcPr>
          <w:p w14:paraId="1CBF1742" w14:textId="77777777" w:rsidR="009414B1" w:rsidRPr="009A4B90" w:rsidRDefault="009414B1" w:rsidP="00C22F1C">
            <w:pPr>
              <w:jc w:val="center"/>
              <w:rPr>
                <w:color w:val="000000"/>
                <w:sz w:val="18"/>
                <w:szCs w:val="18"/>
                <w:lang w:val="hr-HR"/>
              </w:rPr>
            </w:pPr>
            <w:r w:rsidRPr="009A4B90">
              <w:rPr>
                <w:color w:val="000000"/>
                <w:sz w:val="18"/>
                <w:szCs w:val="18"/>
                <w:lang w:val="hr-HR"/>
              </w:rPr>
              <w:t>5</w:t>
            </w:r>
          </w:p>
        </w:tc>
        <w:tc>
          <w:tcPr>
            <w:tcW w:w="1071" w:type="dxa"/>
            <w:tcBorders>
              <w:top w:val="nil"/>
              <w:left w:val="nil"/>
              <w:bottom w:val="single" w:sz="8" w:space="0" w:color="auto"/>
              <w:right w:val="single" w:sz="8" w:space="0" w:color="auto"/>
            </w:tcBorders>
            <w:shd w:val="clear" w:color="auto" w:fill="auto"/>
            <w:noWrap/>
            <w:vAlign w:val="center"/>
          </w:tcPr>
          <w:p w14:paraId="69EC0110" w14:textId="77777777" w:rsidR="009414B1" w:rsidRPr="009A4B90" w:rsidRDefault="009414B1" w:rsidP="00C22F1C">
            <w:pPr>
              <w:jc w:val="center"/>
              <w:rPr>
                <w:color w:val="000000"/>
                <w:sz w:val="18"/>
                <w:szCs w:val="18"/>
                <w:lang w:val="hr-HR"/>
              </w:rPr>
            </w:pPr>
            <w:r w:rsidRPr="009A4B90">
              <w:rPr>
                <w:color w:val="000000"/>
                <w:sz w:val="18"/>
                <w:szCs w:val="18"/>
                <w:lang w:val="hr-HR"/>
              </w:rPr>
              <w:t>6</w:t>
            </w:r>
          </w:p>
        </w:tc>
      </w:tr>
      <w:tr w:rsidR="009414B1" w:rsidRPr="009A4B90" w14:paraId="735D93D8" w14:textId="77777777" w:rsidTr="008B35FF">
        <w:trPr>
          <w:trHeight w:val="275"/>
        </w:trPr>
        <w:tc>
          <w:tcPr>
            <w:tcW w:w="809" w:type="dxa"/>
            <w:tcBorders>
              <w:top w:val="nil"/>
              <w:left w:val="single" w:sz="8" w:space="0" w:color="auto"/>
              <w:bottom w:val="single" w:sz="4" w:space="0" w:color="auto"/>
              <w:right w:val="nil"/>
            </w:tcBorders>
            <w:shd w:val="clear" w:color="auto" w:fill="auto"/>
            <w:noWrap/>
            <w:vAlign w:val="center"/>
            <w:hideMark/>
          </w:tcPr>
          <w:p w14:paraId="5A4436A1" w14:textId="77777777" w:rsidR="009414B1" w:rsidRPr="009A4B90" w:rsidRDefault="009414B1" w:rsidP="00C22F1C">
            <w:pPr>
              <w:jc w:val="center"/>
              <w:rPr>
                <w:color w:val="000000"/>
                <w:sz w:val="22"/>
                <w:szCs w:val="22"/>
                <w:lang w:val="hr-HR"/>
              </w:rPr>
            </w:pPr>
            <w:r w:rsidRPr="009A4B90">
              <w:rPr>
                <w:color w:val="000000"/>
                <w:sz w:val="22"/>
                <w:szCs w:val="22"/>
                <w:lang w:val="hr-HR"/>
              </w:rPr>
              <w:t>1.</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05F0AF69" w14:textId="77777777" w:rsidR="009414B1" w:rsidRPr="009A4B90" w:rsidRDefault="009414B1" w:rsidP="00C22F1C">
            <w:pPr>
              <w:rPr>
                <w:color w:val="000000"/>
                <w:sz w:val="22"/>
                <w:szCs w:val="22"/>
                <w:lang w:val="hr-HR"/>
              </w:rPr>
            </w:pPr>
            <w:r w:rsidRPr="009A4B90">
              <w:rPr>
                <w:color w:val="000000"/>
                <w:sz w:val="22"/>
                <w:szCs w:val="22"/>
                <w:lang w:val="hr-HR"/>
              </w:rPr>
              <w:t>11 Opći prihodi i primici</w:t>
            </w:r>
          </w:p>
        </w:tc>
        <w:tc>
          <w:tcPr>
            <w:tcW w:w="1843" w:type="dxa"/>
            <w:tcBorders>
              <w:top w:val="nil"/>
              <w:left w:val="nil"/>
              <w:bottom w:val="single" w:sz="4" w:space="0" w:color="auto"/>
              <w:right w:val="single" w:sz="4" w:space="0" w:color="auto"/>
            </w:tcBorders>
            <w:shd w:val="clear" w:color="auto" w:fill="auto"/>
            <w:noWrap/>
            <w:vAlign w:val="center"/>
            <w:hideMark/>
          </w:tcPr>
          <w:p w14:paraId="7D85F85A" w14:textId="094F6D48" w:rsidR="009414B1" w:rsidRPr="009A4B90" w:rsidRDefault="009414B1" w:rsidP="009A4B90">
            <w:pPr>
              <w:jc w:val="right"/>
              <w:rPr>
                <w:color w:val="000000"/>
                <w:sz w:val="22"/>
                <w:szCs w:val="22"/>
                <w:lang w:val="hr-HR"/>
              </w:rPr>
            </w:pPr>
            <w:r w:rsidRPr="009A4B90">
              <w:rPr>
                <w:color w:val="000000"/>
                <w:sz w:val="22"/>
                <w:szCs w:val="22"/>
                <w:lang w:val="hr-HR"/>
              </w:rPr>
              <w:t>5</w:t>
            </w:r>
            <w:r w:rsidR="00DD1B98">
              <w:rPr>
                <w:color w:val="000000"/>
                <w:sz w:val="22"/>
                <w:szCs w:val="22"/>
                <w:lang w:val="hr-HR"/>
              </w:rPr>
              <w:t>64.932</w:t>
            </w:r>
            <w:r w:rsidRPr="009A4B90">
              <w:rPr>
                <w:color w:val="000000"/>
                <w:sz w:val="22"/>
                <w:szCs w:val="22"/>
                <w:lang w:val="hr-HR"/>
              </w:rPr>
              <w:t>,00</w:t>
            </w:r>
          </w:p>
        </w:tc>
        <w:tc>
          <w:tcPr>
            <w:tcW w:w="1701" w:type="dxa"/>
            <w:tcBorders>
              <w:top w:val="nil"/>
              <w:left w:val="nil"/>
              <w:bottom w:val="single" w:sz="4" w:space="0" w:color="auto"/>
              <w:right w:val="nil"/>
            </w:tcBorders>
            <w:shd w:val="clear" w:color="auto" w:fill="auto"/>
            <w:noWrap/>
            <w:vAlign w:val="center"/>
            <w:hideMark/>
          </w:tcPr>
          <w:p w14:paraId="17959127" w14:textId="2D016A99" w:rsidR="009414B1" w:rsidRPr="009A4B90" w:rsidRDefault="009414B1" w:rsidP="009A4B90">
            <w:pPr>
              <w:jc w:val="right"/>
              <w:rPr>
                <w:color w:val="000000"/>
                <w:sz w:val="22"/>
                <w:szCs w:val="22"/>
                <w:lang w:val="hr-HR"/>
              </w:rPr>
            </w:pPr>
            <w:r w:rsidRPr="009A4B90">
              <w:rPr>
                <w:color w:val="000000"/>
                <w:sz w:val="22"/>
                <w:szCs w:val="22"/>
                <w:lang w:val="hr-HR"/>
              </w:rPr>
              <w:t xml:space="preserve">      1.</w:t>
            </w:r>
            <w:r w:rsidR="00DD1B98">
              <w:rPr>
                <w:color w:val="000000"/>
                <w:sz w:val="22"/>
                <w:szCs w:val="22"/>
                <w:lang w:val="hr-HR"/>
              </w:rPr>
              <w:t>663</w:t>
            </w:r>
            <w:r w:rsidRPr="009A4B90">
              <w:rPr>
                <w:color w:val="000000"/>
                <w:sz w:val="22"/>
                <w:szCs w:val="22"/>
                <w:lang w:val="hr-HR"/>
              </w:rPr>
              <w:t>.</w:t>
            </w:r>
            <w:r w:rsidR="00DD1B98">
              <w:rPr>
                <w:color w:val="000000"/>
                <w:sz w:val="22"/>
                <w:szCs w:val="22"/>
                <w:lang w:val="hr-HR"/>
              </w:rPr>
              <w:t>10</w:t>
            </w:r>
            <w:r w:rsidRPr="009A4B90">
              <w:rPr>
                <w:color w:val="000000"/>
                <w:sz w:val="22"/>
                <w:szCs w:val="22"/>
                <w:lang w:val="hr-HR"/>
              </w:rPr>
              <w:t>0,00</w:t>
            </w:r>
          </w:p>
        </w:tc>
        <w:tc>
          <w:tcPr>
            <w:tcW w:w="1906" w:type="dxa"/>
            <w:tcBorders>
              <w:top w:val="nil"/>
              <w:left w:val="single" w:sz="8" w:space="0" w:color="auto"/>
              <w:bottom w:val="single" w:sz="4" w:space="0" w:color="auto"/>
              <w:right w:val="single" w:sz="8" w:space="0" w:color="auto"/>
            </w:tcBorders>
            <w:shd w:val="clear" w:color="auto" w:fill="auto"/>
            <w:noWrap/>
            <w:vAlign w:val="center"/>
            <w:hideMark/>
          </w:tcPr>
          <w:p w14:paraId="5FEE53C4" w14:textId="1F56D3B9" w:rsidR="009414B1" w:rsidRPr="009A4B90" w:rsidRDefault="00DD1B98" w:rsidP="009A4B90">
            <w:pPr>
              <w:jc w:val="right"/>
              <w:rPr>
                <w:color w:val="000000"/>
                <w:sz w:val="22"/>
                <w:szCs w:val="22"/>
                <w:lang w:val="hr-HR"/>
              </w:rPr>
            </w:pPr>
            <w:r>
              <w:rPr>
                <w:color w:val="000000"/>
                <w:sz w:val="22"/>
                <w:szCs w:val="22"/>
                <w:lang w:val="hr-HR"/>
              </w:rPr>
              <w:t>767</w:t>
            </w:r>
            <w:r w:rsidR="009414B1" w:rsidRPr="009A4B90">
              <w:rPr>
                <w:color w:val="000000"/>
                <w:sz w:val="22"/>
                <w:szCs w:val="22"/>
                <w:lang w:val="hr-HR"/>
              </w:rPr>
              <w:t>.</w:t>
            </w:r>
            <w:r>
              <w:rPr>
                <w:color w:val="000000"/>
                <w:sz w:val="22"/>
                <w:szCs w:val="22"/>
                <w:lang w:val="hr-HR"/>
              </w:rPr>
              <w:t>241</w:t>
            </w:r>
            <w:r w:rsidR="009414B1" w:rsidRPr="009A4B90">
              <w:rPr>
                <w:color w:val="000000"/>
                <w:sz w:val="22"/>
                <w:szCs w:val="22"/>
                <w:lang w:val="hr-HR"/>
              </w:rPr>
              <w:t>,</w:t>
            </w:r>
            <w:r>
              <w:rPr>
                <w:color w:val="000000"/>
                <w:sz w:val="22"/>
                <w:szCs w:val="22"/>
                <w:lang w:val="hr-HR"/>
              </w:rPr>
              <w:t>1</w:t>
            </w:r>
            <w:r w:rsidR="009414B1" w:rsidRPr="009A4B90">
              <w:rPr>
                <w:color w:val="000000"/>
                <w:sz w:val="22"/>
                <w:szCs w:val="22"/>
                <w:lang w:val="hr-HR"/>
              </w:rPr>
              <w:t>0</w:t>
            </w:r>
          </w:p>
        </w:tc>
        <w:tc>
          <w:tcPr>
            <w:tcW w:w="1071" w:type="dxa"/>
            <w:tcBorders>
              <w:top w:val="nil"/>
              <w:left w:val="nil"/>
              <w:bottom w:val="single" w:sz="4" w:space="0" w:color="auto"/>
              <w:right w:val="single" w:sz="8" w:space="0" w:color="auto"/>
            </w:tcBorders>
            <w:shd w:val="clear" w:color="auto" w:fill="auto"/>
            <w:noWrap/>
            <w:vAlign w:val="center"/>
          </w:tcPr>
          <w:p w14:paraId="551074CC" w14:textId="75EE41DE" w:rsidR="009414B1" w:rsidRPr="009A4B90" w:rsidRDefault="009414B1" w:rsidP="009A4B90">
            <w:pPr>
              <w:jc w:val="right"/>
              <w:rPr>
                <w:color w:val="000000"/>
                <w:sz w:val="22"/>
                <w:szCs w:val="22"/>
                <w:lang w:val="hr-HR"/>
              </w:rPr>
            </w:pPr>
            <w:r w:rsidRPr="009A4B90">
              <w:rPr>
                <w:color w:val="000000"/>
                <w:sz w:val="22"/>
                <w:szCs w:val="22"/>
                <w:lang w:val="hr-HR"/>
              </w:rPr>
              <w:t>1</w:t>
            </w:r>
            <w:r w:rsidR="00DD1B98">
              <w:rPr>
                <w:color w:val="000000"/>
                <w:sz w:val="22"/>
                <w:szCs w:val="22"/>
                <w:lang w:val="hr-HR"/>
              </w:rPr>
              <w:t>36</w:t>
            </w:r>
            <w:r w:rsidRPr="009A4B90">
              <w:rPr>
                <w:color w:val="000000"/>
                <w:sz w:val="22"/>
                <w:szCs w:val="22"/>
                <w:lang w:val="hr-HR"/>
              </w:rPr>
              <w:t xml:space="preserve"> %</w:t>
            </w:r>
          </w:p>
        </w:tc>
      </w:tr>
      <w:tr w:rsidR="009414B1" w:rsidRPr="009A4B90" w14:paraId="64849F27" w14:textId="77777777" w:rsidTr="008B35FF">
        <w:trPr>
          <w:trHeight w:val="275"/>
        </w:trPr>
        <w:tc>
          <w:tcPr>
            <w:tcW w:w="809" w:type="dxa"/>
            <w:tcBorders>
              <w:top w:val="nil"/>
              <w:left w:val="single" w:sz="8" w:space="0" w:color="auto"/>
              <w:bottom w:val="single" w:sz="4" w:space="0" w:color="auto"/>
              <w:right w:val="nil"/>
            </w:tcBorders>
            <w:shd w:val="clear" w:color="auto" w:fill="auto"/>
            <w:noWrap/>
            <w:vAlign w:val="center"/>
            <w:hideMark/>
          </w:tcPr>
          <w:p w14:paraId="67FDA839" w14:textId="77777777" w:rsidR="009414B1" w:rsidRPr="009A4B90" w:rsidRDefault="009414B1" w:rsidP="00C22F1C">
            <w:pPr>
              <w:jc w:val="center"/>
              <w:rPr>
                <w:color w:val="000000"/>
                <w:sz w:val="22"/>
                <w:szCs w:val="22"/>
                <w:lang w:val="hr-HR"/>
              </w:rPr>
            </w:pPr>
            <w:r w:rsidRPr="009A4B90">
              <w:rPr>
                <w:color w:val="000000"/>
                <w:sz w:val="22"/>
                <w:szCs w:val="22"/>
                <w:lang w:val="hr-HR"/>
              </w:rPr>
              <w:t>2.</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092B7C23" w14:textId="352FA4BD" w:rsidR="009414B1" w:rsidRPr="009A4B90" w:rsidRDefault="00C8795D" w:rsidP="00C22F1C">
            <w:pPr>
              <w:rPr>
                <w:color w:val="000000"/>
                <w:sz w:val="22"/>
                <w:szCs w:val="22"/>
                <w:lang w:val="hr-HR"/>
              </w:rPr>
            </w:pPr>
            <w:r>
              <w:rPr>
                <w:color w:val="000000"/>
                <w:sz w:val="22"/>
                <w:szCs w:val="22"/>
                <w:lang w:val="hr-HR"/>
              </w:rPr>
              <w:t>43</w:t>
            </w:r>
            <w:r w:rsidR="009414B1" w:rsidRPr="009A4B90">
              <w:rPr>
                <w:color w:val="000000"/>
                <w:sz w:val="22"/>
                <w:szCs w:val="22"/>
                <w:lang w:val="hr-HR"/>
              </w:rPr>
              <w:t>-</w:t>
            </w:r>
            <w:r w:rsidR="004977CD">
              <w:rPr>
                <w:color w:val="000000"/>
                <w:sz w:val="22"/>
                <w:szCs w:val="22"/>
                <w:lang w:val="hr-HR"/>
              </w:rPr>
              <w:t>Roditeljske uplate</w:t>
            </w:r>
            <w:r w:rsidR="009414B1" w:rsidRPr="009A4B90">
              <w:rPr>
                <w:color w:val="000000"/>
                <w:sz w:val="22"/>
                <w:szCs w:val="22"/>
                <w:lang w:val="hr-HR"/>
              </w:rPr>
              <w:t>-korisnici</w:t>
            </w:r>
          </w:p>
        </w:tc>
        <w:tc>
          <w:tcPr>
            <w:tcW w:w="1843" w:type="dxa"/>
            <w:tcBorders>
              <w:top w:val="nil"/>
              <w:left w:val="nil"/>
              <w:bottom w:val="single" w:sz="4" w:space="0" w:color="auto"/>
              <w:right w:val="single" w:sz="4" w:space="0" w:color="auto"/>
            </w:tcBorders>
            <w:shd w:val="clear" w:color="auto" w:fill="auto"/>
            <w:noWrap/>
            <w:vAlign w:val="center"/>
            <w:hideMark/>
          </w:tcPr>
          <w:p w14:paraId="6445EDA1" w14:textId="243410D6" w:rsidR="009414B1" w:rsidRPr="009A4B90" w:rsidRDefault="009414B1" w:rsidP="009A4B90">
            <w:pPr>
              <w:jc w:val="right"/>
              <w:rPr>
                <w:color w:val="000000"/>
                <w:sz w:val="22"/>
                <w:szCs w:val="22"/>
                <w:lang w:val="hr-HR"/>
              </w:rPr>
            </w:pPr>
            <w:r w:rsidRPr="009A4B90">
              <w:rPr>
                <w:color w:val="000000"/>
                <w:sz w:val="22"/>
                <w:szCs w:val="22"/>
                <w:lang w:val="hr-HR"/>
              </w:rPr>
              <w:t>30</w:t>
            </w:r>
            <w:r w:rsidR="00DD1B98">
              <w:rPr>
                <w:color w:val="000000"/>
                <w:sz w:val="22"/>
                <w:szCs w:val="22"/>
                <w:lang w:val="hr-HR"/>
              </w:rPr>
              <w:t>7</w:t>
            </w:r>
            <w:r w:rsidRPr="009A4B90">
              <w:rPr>
                <w:color w:val="000000"/>
                <w:sz w:val="22"/>
                <w:szCs w:val="22"/>
                <w:lang w:val="hr-HR"/>
              </w:rPr>
              <w:t>.</w:t>
            </w:r>
            <w:r w:rsidR="00DD1B98">
              <w:rPr>
                <w:color w:val="000000"/>
                <w:sz w:val="22"/>
                <w:szCs w:val="22"/>
                <w:lang w:val="hr-HR"/>
              </w:rPr>
              <w:t>265</w:t>
            </w:r>
            <w:r w:rsidRPr="009A4B90">
              <w:rPr>
                <w:color w:val="000000"/>
                <w:sz w:val="22"/>
                <w:szCs w:val="22"/>
                <w:lang w:val="hr-HR"/>
              </w:rPr>
              <w:t>,</w:t>
            </w:r>
            <w:r w:rsidR="00DD1B98">
              <w:rPr>
                <w:color w:val="000000"/>
                <w:sz w:val="22"/>
                <w:szCs w:val="22"/>
                <w:lang w:val="hr-HR"/>
              </w:rPr>
              <w:t>16</w:t>
            </w:r>
          </w:p>
        </w:tc>
        <w:tc>
          <w:tcPr>
            <w:tcW w:w="1701" w:type="dxa"/>
            <w:tcBorders>
              <w:top w:val="nil"/>
              <w:left w:val="nil"/>
              <w:bottom w:val="single" w:sz="4" w:space="0" w:color="auto"/>
              <w:right w:val="nil"/>
            </w:tcBorders>
            <w:shd w:val="clear" w:color="auto" w:fill="auto"/>
            <w:noWrap/>
            <w:vAlign w:val="center"/>
            <w:hideMark/>
          </w:tcPr>
          <w:p w14:paraId="69BA2C0D" w14:textId="1AA64549" w:rsidR="009414B1" w:rsidRPr="009A4B90" w:rsidRDefault="009414B1" w:rsidP="009A4B90">
            <w:pPr>
              <w:jc w:val="right"/>
              <w:rPr>
                <w:color w:val="000000"/>
                <w:sz w:val="22"/>
                <w:szCs w:val="22"/>
                <w:lang w:val="hr-HR"/>
              </w:rPr>
            </w:pPr>
            <w:r w:rsidRPr="009A4B90">
              <w:rPr>
                <w:color w:val="000000"/>
                <w:sz w:val="22"/>
                <w:szCs w:val="22"/>
                <w:lang w:val="hr-HR"/>
              </w:rPr>
              <w:t xml:space="preserve">         5</w:t>
            </w:r>
            <w:r w:rsidR="00DD1B98">
              <w:rPr>
                <w:color w:val="000000"/>
                <w:sz w:val="22"/>
                <w:szCs w:val="22"/>
                <w:lang w:val="hr-HR"/>
              </w:rPr>
              <w:t>64</w:t>
            </w:r>
            <w:r w:rsidRPr="009A4B90">
              <w:rPr>
                <w:color w:val="000000"/>
                <w:sz w:val="22"/>
                <w:szCs w:val="22"/>
                <w:lang w:val="hr-HR"/>
              </w:rPr>
              <w:t>.</w:t>
            </w:r>
            <w:r w:rsidR="00DD1B98">
              <w:rPr>
                <w:color w:val="000000"/>
                <w:sz w:val="22"/>
                <w:szCs w:val="22"/>
                <w:lang w:val="hr-HR"/>
              </w:rPr>
              <w:t>50</w:t>
            </w:r>
            <w:r w:rsidR="009609F1" w:rsidRPr="009A4B90">
              <w:rPr>
                <w:color w:val="000000"/>
                <w:sz w:val="22"/>
                <w:szCs w:val="22"/>
                <w:lang w:val="hr-HR"/>
              </w:rPr>
              <w:t>0</w:t>
            </w:r>
            <w:r w:rsidRPr="009A4B90">
              <w:rPr>
                <w:color w:val="000000"/>
                <w:sz w:val="22"/>
                <w:szCs w:val="22"/>
                <w:lang w:val="hr-HR"/>
              </w:rPr>
              <w:t>,</w:t>
            </w:r>
            <w:r w:rsidR="009609F1" w:rsidRPr="009A4B90">
              <w:rPr>
                <w:color w:val="000000"/>
                <w:sz w:val="22"/>
                <w:szCs w:val="22"/>
                <w:lang w:val="hr-HR"/>
              </w:rPr>
              <w:t>00</w:t>
            </w:r>
          </w:p>
        </w:tc>
        <w:tc>
          <w:tcPr>
            <w:tcW w:w="1906" w:type="dxa"/>
            <w:tcBorders>
              <w:top w:val="nil"/>
              <w:left w:val="single" w:sz="8" w:space="0" w:color="auto"/>
              <w:bottom w:val="single" w:sz="4" w:space="0" w:color="auto"/>
              <w:right w:val="single" w:sz="8" w:space="0" w:color="auto"/>
            </w:tcBorders>
            <w:shd w:val="clear" w:color="auto" w:fill="auto"/>
            <w:noWrap/>
            <w:vAlign w:val="center"/>
            <w:hideMark/>
          </w:tcPr>
          <w:p w14:paraId="2638E483" w14:textId="40A48C3C" w:rsidR="009414B1" w:rsidRPr="009A4B90" w:rsidRDefault="00DD1B98" w:rsidP="009A4B90">
            <w:pPr>
              <w:jc w:val="right"/>
              <w:rPr>
                <w:color w:val="000000"/>
                <w:sz w:val="22"/>
                <w:szCs w:val="22"/>
                <w:lang w:val="hr-HR"/>
              </w:rPr>
            </w:pPr>
            <w:r>
              <w:rPr>
                <w:color w:val="000000"/>
                <w:sz w:val="22"/>
                <w:szCs w:val="22"/>
                <w:lang w:val="hr-HR"/>
              </w:rPr>
              <w:t>297.571,93</w:t>
            </w:r>
          </w:p>
        </w:tc>
        <w:tc>
          <w:tcPr>
            <w:tcW w:w="1071" w:type="dxa"/>
            <w:tcBorders>
              <w:top w:val="nil"/>
              <w:left w:val="nil"/>
              <w:bottom w:val="single" w:sz="4" w:space="0" w:color="auto"/>
              <w:right w:val="single" w:sz="8" w:space="0" w:color="auto"/>
            </w:tcBorders>
            <w:shd w:val="clear" w:color="auto" w:fill="auto"/>
            <w:noWrap/>
            <w:vAlign w:val="center"/>
          </w:tcPr>
          <w:p w14:paraId="6FA33DBE" w14:textId="38593BCF" w:rsidR="009414B1" w:rsidRPr="009A4B90" w:rsidRDefault="009609F1" w:rsidP="009A4B90">
            <w:pPr>
              <w:jc w:val="right"/>
              <w:rPr>
                <w:color w:val="000000"/>
                <w:sz w:val="22"/>
                <w:szCs w:val="22"/>
                <w:lang w:val="hr-HR"/>
              </w:rPr>
            </w:pPr>
            <w:r w:rsidRPr="009A4B90">
              <w:rPr>
                <w:color w:val="000000"/>
                <w:sz w:val="22"/>
                <w:szCs w:val="22"/>
                <w:lang w:val="hr-HR"/>
              </w:rPr>
              <w:t xml:space="preserve"> 9</w:t>
            </w:r>
            <w:r w:rsidR="00DD1B98">
              <w:rPr>
                <w:color w:val="000000"/>
                <w:sz w:val="22"/>
                <w:szCs w:val="22"/>
                <w:lang w:val="hr-HR"/>
              </w:rPr>
              <w:t>7</w:t>
            </w:r>
            <w:r w:rsidR="009414B1" w:rsidRPr="009A4B90">
              <w:rPr>
                <w:color w:val="000000"/>
                <w:sz w:val="22"/>
                <w:szCs w:val="22"/>
                <w:lang w:val="hr-HR"/>
              </w:rPr>
              <w:t xml:space="preserve"> %</w:t>
            </w:r>
          </w:p>
        </w:tc>
      </w:tr>
      <w:tr w:rsidR="00245B7A" w:rsidRPr="009A4B90" w14:paraId="225F9EFF" w14:textId="77777777" w:rsidTr="00BA2682">
        <w:trPr>
          <w:trHeight w:val="326"/>
        </w:trPr>
        <w:tc>
          <w:tcPr>
            <w:tcW w:w="809" w:type="dxa"/>
            <w:tcBorders>
              <w:top w:val="nil"/>
              <w:left w:val="single" w:sz="8" w:space="0" w:color="auto"/>
              <w:bottom w:val="single" w:sz="4" w:space="0" w:color="auto"/>
              <w:right w:val="nil"/>
            </w:tcBorders>
            <w:shd w:val="clear" w:color="auto" w:fill="auto"/>
            <w:noWrap/>
            <w:vAlign w:val="center"/>
          </w:tcPr>
          <w:p w14:paraId="4670521E" w14:textId="5771B062" w:rsidR="00245B7A" w:rsidRPr="009A4B90" w:rsidRDefault="00245B7A" w:rsidP="00C22F1C">
            <w:pPr>
              <w:jc w:val="center"/>
              <w:rPr>
                <w:color w:val="000000"/>
                <w:sz w:val="22"/>
                <w:szCs w:val="22"/>
                <w:lang w:val="hr-HR"/>
              </w:rPr>
            </w:pPr>
            <w:r>
              <w:rPr>
                <w:color w:val="000000"/>
                <w:sz w:val="22"/>
                <w:szCs w:val="22"/>
                <w:lang w:val="hr-HR"/>
              </w:rPr>
              <w:t>3.</w:t>
            </w:r>
          </w:p>
        </w:tc>
        <w:tc>
          <w:tcPr>
            <w:tcW w:w="2099" w:type="dxa"/>
            <w:tcBorders>
              <w:top w:val="nil"/>
              <w:left w:val="single" w:sz="8" w:space="0" w:color="auto"/>
              <w:bottom w:val="single" w:sz="4" w:space="0" w:color="auto"/>
              <w:right w:val="single" w:sz="8" w:space="0" w:color="auto"/>
            </w:tcBorders>
            <w:shd w:val="clear" w:color="auto" w:fill="auto"/>
            <w:noWrap/>
            <w:vAlign w:val="center"/>
          </w:tcPr>
          <w:p w14:paraId="5E0B104E" w14:textId="7FCFC092" w:rsidR="00245B7A" w:rsidRPr="009A4B90" w:rsidRDefault="00245B7A" w:rsidP="00C22F1C">
            <w:pPr>
              <w:rPr>
                <w:color w:val="000000"/>
                <w:sz w:val="22"/>
                <w:szCs w:val="22"/>
                <w:lang w:val="hr-HR"/>
              </w:rPr>
            </w:pPr>
            <w:r>
              <w:rPr>
                <w:color w:val="000000"/>
                <w:sz w:val="22"/>
                <w:szCs w:val="22"/>
                <w:lang w:val="hr-HR"/>
              </w:rPr>
              <w:t>32</w:t>
            </w:r>
            <w:r w:rsidR="00C8795D">
              <w:rPr>
                <w:color w:val="000000"/>
                <w:sz w:val="22"/>
                <w:szCs w:val="22"/>
                <w:lang w:val="hr-HR"/>
              </w:rPr>
              <w:t>-</w:t>
            </w:r>
            <w:r>
              <w:rPr>
                <w:color w:val="000000"/>
                <w:sz w:val="22"/>
                <w:szCs w:val="22"/>
                <w:lang w:val="hr-HR"/>
              </w:rPr>
              <w:t>Vlastiti prihodi</w:t>
            </w:r>
          </w:p>
        </w:tc>
        <w:tc>
          <w:tcPr>
            <w:tcW w:w="1843" w:type="dxa"/>
            <w:tcBorders>
              <w:top w:val="nil"/>
              <w:left w:val="nil"/>
              <w:bottom w:val="single" w:sz="4" w:space="0" w:color="auto"/>
              <w:right w:val="single" w:sz="4" w:space="0" w:color="auto"/>
            </w:tcBorders>
            <w:shd w:val="clear" w:color="auto" w:fill="auto"/>
            <w:noWrap/>
            <w:vAlign w:val="center"/>
          </w:tcPr>
          <w:p w14:paraId="697D5E25" w14:textId="38CE875C" w:rsidR="00245B7A" w:rsidRDefault="00245B7A" w:rsidP="009A4B90">
            <w:pPr>
              <w:jc w:val="right"/>
              <w:rPr>
                <w:color w:val="000000"/>
                <w:sz w:val="22"/>
                <w:szCs w:val="22"/>
                <w:lang w:val="hr-HR"/>
              </w:rPr>
            </w:pPr>
            <w:r>
              <w:rPr>
                <w:color w:val="000000"/>
                <w:sz w:val="22"/>
                <w:szCs w:val="22"/>
                <w:lang w:val="hr-HR"/>
              </w:rPr>
              <w:t>0,00</w:t>
            </w:r>
          </w:p>
        </w:tc>
        <w:tc>
          <w:tcPr>
            <w:tcW w:w="1701" w:type="dxa"/>
            <w:tcBorders>
              <w:top w:val="nil"/>
              <w:left w:val="nil"/>
              <w:bottom w:val="single" w:sz="4" w:space="0" w:color="auto"/>
              <w:right w:val="nil"/>
            </w:tcBorders>
            <w:shd w:val="clear" w:color="auto" w:fill="auto"/>
            <w:noWrap/>
            <w:vAlign w:val="center"/>
          </w:tcPr>
          <w:p w14:paraId="09919B2B" w14:textId="086DAA8A" w:rsidR="00245B7A" w:rsidRPr="009A4B90" w:rsidRDefault="00245B7A" w:rsidP="009A4B90">
            <w:pPr>
              <w:jc w:val="right"/>
              <w:rPr>
                <w:color w:val="000000"/>
                <w:sz w:val="22"/>
                <w:szCs w:val="22"/>
                <w:lang w:val="hr-HR"/>
              </w:rPr>
            </w:pPr>
            <w:r>
              <w:rPr>
                <w:color w:val="000000"/>
                <w:sz w:val="22"/>
                <w:szCs w:val="22"/>
                <w:lang w:val="hr-HR"/>
              </w:rPr>
              <w:t>30,00</w:t>
            </w:r>
          </w:p>
        </w:tc>
        <w:tc>
          <w:tcPr>
            <w:tcW w:w="1906" w:type="dxa"/>
            <w:tcBorders>
              <w:top w:val="nil"/>
              <w:left w:val="single" w:sz="8" w:space="0" w:color="auto"/>
              <w:bottom w:val="single" w:sz="4" w:space="0" w:color="auto"/>
              <w:right w:val="single" w:sz="8" w:space="0" w:color="auto"/>
            </w:tcBorders>
            <w:shd w:val="clear" w:color="auto" w:fill="auto"/>
            <w:noWrap/>
            <w:vAlign w:val="center"/>
          </w:tcPr>
          <w:p w14:paraId="31FA7F6A" w14:textId="39D203E5" w:rsidR="00245B7A" w:rsidRPr="009A4B90" w:rsidRDefault="00245B7A" w:rsidP="009A4B90">
            <w:pPr>
              <w:jc w:val="right"/>
              <w:rPr>
                <w:color w:val="000000"/>
                <w:sz w:val="22"/>
                <w:szCs w:val="22"/>
                <w:lang w:val="hr-HR"/>
              </w:rPr>
            </w:pPr>
            <w:r>
              <w:rPr>
                <w:color w:val="000000"/>
                <w:sz w:val="22"/>
                <w:szCs w:val="22"/>
                <w:lang w:val="hr-HR"/>
              </w:rPr>
              <w:t>0,00</w:t>
            </w:r>
          </w:p>
        </w:tc>
        <w:tc>
          <w:tcPr>
            <w:tcW w:w="1071" w:type="dxa"/>
            <w:tcBorders>
              <w:top w:val="nil"/>
              <w:left w:val="nil"/>
              <w:bottom w:val="single" w:sz="4" w:space="0" w:color="auto"/>
              <w:right w:val="single" w:sz="8" w:space="0" w:color="auto"/>
            </w:tcBorders>
            <w:shd w:val="clear" w:color="auto" w:fill="auto"/>
            <w:noWrap/>
            <w:vAlign w:val="center"/>
          </w:tcPr>
          <w:p w14:paraId="71F6C139" w14:textId="77777777" w:rsidR="00245B7A" w:rsidRPr="009A4B90" w:rsidRDefault="00245B7A" w:rsidP="009A4B90">
            <w:pPr>
              <w:jc w:val="right"/>
              <w:rPr>
                <w:color w:val="000000"/>
                <w:sz w:val="22"/>
                <w:szCs w:val="22"/>
                <w:lang w:val="hr-HR"/>
              </w:rPr>
            </w:pPr>
          </w:p>
        </w:tc>
      </w:tr>
      <w:tr w:rsidR="009414B1" w:rsidRPr="009A4B90" w14:paraId="5E8830A0" w14:textId="77777777" w:rsidTr="008B35FF">
        <w:trPr>
          <w:trHeight w:val="275"/>
        </w:trPr>
        <w:tc>
          <w:tcPr>
            <w:tcW w:w="809" w:type="dxa"/>
            <w:tcBorders>
              <w:top w:val="nil"/>
              <w:left w:val="single" w:sz="8" w:space="0" w:color="auto"/>
              <w:bottom w:val="single" w:sz="4" w:space="0" w:color="auto"/>
              <w:right w:val="nil"/>
            </w:tcBorders>
            <w:shd w:val="clear" w:color="auto" w:fill="auto"/>
            <w:noWrap/>
            <w:vAlign w:val="center"/>
            <w:hideMark/>
          </w:tcPr>
          <w:p w14:paraId="4EDA8232" w14:textId="732324A6" w:rsidR="009414B1" w:rsidRPr="009A4B90" w:rsidRDefault="00245B7A" w:rsidP="00C22F1C">
            <w:pPr>
              <w:jc w:val="center"/>
              <w:rPr>
                <w:color w:val="000000"/>
                <w:sz w:val="22"/>
                <w:szCs w:val="22"/>
                <w:lang w:val="hr-HR"/>
              </w:rPr>
            </w:pPr>
            <w:r>
              <w:rPr>
                <w:color w:val="000000"/>
                <w:sz w:val="22"/>
                <w:szCs w:val="22"/>
                <w:lang w:val="hr-HR"/>
              </w:rPr>
              <w:t>4</w:t>
            </w:r>
            <w:r w:rsidR="009414B1" w:rsidRPr="009A4B90">
              <w:rPr>
                <w:color w:val="000000"/>
                <w:sz w:val="22"/>
                <w:szCs w:val="22"/>
                <w:lang w:val="hr-HR"/>
              </w:rPr>
              <w:t>.</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2FC188A3" w14:textId="45D867BC" w:rsidR="009414B1" w:rsidRPr="009A4B90" w:rsidRDefault="00C8795D" w:rsidP="00C22F1C">
            <w:pPr>
              <w:rPr>
                <w:color w:val="000000"/>
                <w:sz w:val="22"/>
                <w:szCs w:val="22"/>
                <w:lang w:val="hr-HR"/>
              </w:rPr>
            </w:pPr>
            <w:r>
              <w:rPr>
                <w:color w:val="000000"/>
                <w:sz w:val="22"/>
                <w:szCs w:val="22"/>
                <w:lang w:val="hr-HR"/>
              </w:rPr>
              <w:t>52,5</w:t>
            </w:r>
            <w:r w:rsidR="009414B1" w:rsidRPr="009A4B90">
              <w:rPr>
                <w:color w:val="000000"/>
                <w:sz w:val="22"/>
                <w:szCs w:val="22"/>
                <w:lang w:val="hr-HR"/>
              </w:rPr>
              <w:t xml:space="preserve">3-Pomoći –korisnici </w:t>
            </w:r>
          </w:p>
        </w:tc>
        <w:tc>
          <w:tcPr>
            <w:tcW w:w="1843" w:type="dxa"/>
            <w:tcBorders>
              <w:top w:val="nil"/>
              <w:left w:val="nil"/>
              <w:bottom w:val="single" w:sz="4" w:space="0" w:color="auto"/>
              <w:right w:val="single" w:sz="4" w:space="0" w:color="auto"/>
            </w:tcBorders>
            <w:shd w:val="clear" w:color="auto" w:fill="auto"/>
            <w:noWrap/>
            <w:vAlign w:val="center"/>
            <w:hideMark/>
          </w:tcPr>
          <w:p w14:paraId="2EA3B234" w14:textId="18283AF0" w:rsidR="009414B1" w:rsidRPr="009A4B90" w:rsidRDefault="00DD1B98" w:rsidP="009A4B90">
            <w:pPr>
              <w:jc w:val="right"/>
              <w:rPr>
                <w:color w:val="000000"/>
                <w:sz w:val="22"/>
                <w:szCs w:val="22"/>
                <w:lang w:val="hr-HR"/>
              </w:rPr>
            </w:pPr>
            <w:r>
              <w:rPr>
                <w:color w:val="000000"/>
                <w:sz w:val="22"/>
                <w:szCs w:val="22"/>
                <w:lang w:val="hr-HR"/>
              </w:rPr>
              <w:t>1.055.722</w:t>
            </w:r>
            <w:r w:rsidR="009414B1" w:rsidRPr="009A4B90">
              <w:rPr>
                <w:color w:val="000000"/>
                <w:sz w:val="22"/>
                <w:szCs w:val="22"/>
                <w:lang w:val="hr-HR"/>
              </w:rPr>
              <w:t>,</w:t>
            </w:r>
            <w:r>
              <w:rPr>
                <w:color w:val="000000"/>
                <w:sz w:val="22"/>
                <w:szCs w:val="22"/>
                <w:lang w:val="hr-HR"/>
              </w:rPr>
              <w:t>55</w:t>
            </w:r>
          </w:p>
        </w:tc>
        <w:tc>
          <w:tcPr>
            <w:tcW w:w="1701" w:type="dxa"/>
            <w:tcBorders>
              <w:top w:val="nil"/>
              <w:left w:val="nil"/>
              <w:bottom w:val="single" w:sz="4" w:space="0" w:color="auto"/>
              <w:right w:val="nil"/>
            </w:tcBorders>
            <w:shd w:val="clear" w:color="auto" w:fill="auto"/>
            <w:noWrap/>
            <w:vAlign w:val="center"/>
            <w:hideMark/>
          </w:tcPr>
          <w:p w14:paraId="58F83853" w14:textId="5AC8D2B7" w:rsidR="009414B1" w:rsidRPr="009A4B90" w:rsidRDefault="009609F1" w:rsidP="009A4B90">
            <w:pPr>
              <w:jc w:val="right"/>
              <w:rPr>
                <w:color w:val="000000"/>
                <w:sz w:val="22"/>
                <w:szCs w:val="22"/>
                <w:lang w:val="hr-HR"/>
              </w:rPr>
            </w:pPr>
            <w:r w:rsidRPr="009A4B90">
              <w:rPr>
                <w:color w:val="000000"/>
                <w:sz w:val="22"/>
                <w:szCs w:val="22"/>
                <w:lang w:val="hr-HR"/>
              </w:rPr>
              <w:t>2</w:t>
            </w:r>
            <w:r w:rsidR="009414B1" w:rsidRPr="009A4B90">
              <w:rPr>
                <w:color w:val="000000"/>
                <w:sz w:val="22"/>
                <w:szCs w:val="22"/>
                <w:lang w:val="hr-HR"/>
              </w:rPr>
              <w:t>.</w:t>
            </w:r>
            <w:r w:rsidR="00DD1B98">
              <w:rPr>
                <w:color w:val="000000"/>
                <w:sz w:val="22"/>
                <w:szCs w:val="22"/>
                <w:lang w:val="hr-HR"/>
              </w:rPr>
              <w:t>850</w:t>
            </w:r>
            <w:r w:rsidR="009414B1" w:rsidRPr="009A4B90">
              <w:rPr>
                <w:color w:val="000000"/>
                <w:sz w:val="22"/>
                <w:szCs w:val="22"/>
                <w:lang w:val="hr-HR"/>
              </w:rPr>
              <w:t>.</w:t>
            </w:r>
            <w:r w:rsidR="00DD1B98">
              <w:rPr>
                <w:color w:val="000000"/>
                <w:sz w:val="22"/>
                <w:szCs w:val="22"/>
                <w:lang w:val="hr-HR"/>
              </w:rPr>
              <w:t>37</w:t>
            </w:r>
            <w:r w:rsidR="009414B1" w:rsidRPr="009A4B90">
              <w:rPr>
                <w:color w:val="000000"/>
                <w:sz w:val="22"/>
                <w:szCs w:val="22"/>
                <w:lang w:val="hr-HR"/>
              </w:rPr>
              <w:t>0,00</w:t>
            </w:r>
          </w:p>
        </w:tc>
        <w:tc>
          <w:tcPr>
            <w:tcW w:w="1906" w:type="dxa"/>
            <w:tcBorders>
              <w:top w:val="nil"/>
              <w:left w:val="single" w:sz="8" w:space="0" w:color="auto"/>
              <w:bottom w:val="single" w:sz="4" w:space="0" w:color="auto"/>
              <w:right w:val="single" w:sz="8" w:space="0" w:color="auto"/>
            </w:tcBorders>
            <w:shd w:val="clear" w:color="auto" w:fill="auto"/>
            <w:noWrap/>
            <w:vAlign w:val="center"/>
            <w:hideMark/>
          </w:tcPr>
          <w:p w14:paraId="4595B446" w14:textId="4AED4A62" w:rsidR="009414B1" w:rsidRPr="009A4B90" w:rsidRDefault="009414B1" w:rsidP="009A4B90">
            <w:pPr>
              <w:jc w:val="right"/>
              <w:rPr>
                <w:color w:val="000000"/>
                <w:sz w:val="22"/>
                <w:szCs w:val="22"/>
                <w:lang w:val="hr-HR"/>
              </w:rPr>
            </w:pPr>
            <w:r w:rsidRPr="009A4B90">
              <w:rPr>
                <w:color w:val="000000"/>
                <w:sz w:val="22"/>
                <w:szCs w:val="22"/>
                <w:lang w:val="hr-HR"/>
              </w:rPr>
              <w:t>1.</w:t>
            </w:r>
            <w:r w:rsidR="00DD1B98">
              <w:rPr>
                <w:color w:val="000000"/>
                <w:sz w:val="22"/>
                <w:szCs w:val="22"/>
                <w:lang w:val="hr-HR"/>
              </w:rPr>
              <w:t>373</w:t>
            </w:r>
            <w:r w:rsidRPr="009A4B90">
              <w:rPr>
                <w:color w:val="000000"/>
                <w:sz w:val="22"/>
                <w:szCs w:val="22"/>
                <w:lang w:val="hr-HR"/>
              </w:rPr>
              <w:t>.</w:t>
            </w:r>
            <w:r w:rsidR="00DD1B98">
              <w:rPr>
                <w:color w:val="000000"/>
                <w:sz w:val="22"/>
                <w:szCs w:val="22"/>
                <w:lang w:val="hr-HR"/>
              </w:rPr>
              <w:t>333</w:t>
            </w:r>
            <w:r w:rsidRPr="009A4B90">
              <w:rPr>
                <w:color w:val="000000"/>
                <w:sz w:val="22"/>
                <w:szCs w:val="22"/>
                <w:lang w:val="hr-HR"/>
              </w:rPr>
              <w:t>,</w:t>
            </w:r>
            <w:r w:rsidR="00DD1B98">
              <w:rPr>
                <w:color w:val="000000"/>
                <w:sz w:val="22"/>
                <w:szCs w:val="22"/>
                <w:lang w:val="hr-HR"/>
              </w:rPr>
              <w:t>28</w:t>
            </w:r>
          </w:p>
        </w:tc>
        <w:tc>
          <w:tcPr>
            <w:tcW w:w="1071" w:type="dxa"/>
            <w:tcBorders>
              <w:top w:val="nil"/>
              <w:left w:val="nil"/>
              <w:bottom w:val="single" w:sz="4" w:space="0" w:color="auto"/>
              <w:right w:val="single" w:sz="8" w:space="0" w:color="auto"/>
            </w:tcBorders>
            <w:shd w:val="clear" w:color="auto" w:fill="auto"/>
            <w:noWrap/>
            <w:vAlign w:val="center"/>
          </w:tcPr>
          <w:p w14:paraId="1B31BF64" w14:textId="235DB86C" w:rsidR="009414B1" w:rsidRPr="009A4B90" w:rsidRDefault="009414B1" w:rsidP="009A4B90">
            <w:pPr>
              <w:jc w:val="right"/>
              <w:rPr>
                <w:color w:val="000000"/>
                <w:sz w:val="22"/>
                <w:szCs w:val="22"/>
                <w:lang w:val="hr-HR"/>
              </w:rPr>
            </w:pPr>
            <w:r w:rsidRPr="009A4B90">
              <w:rPr>
                <w:color w:val="000000"/>
                <w:sz w:val="22"/>
                <w:szCs w:val="22"/>
                <w:lang w:val="hr-HR"/>
              </w:rPr>
              <w:t>1</w:t>
            </w:r>
            <w:r w:rsidR="00DD1B98">
              <w:rPr>
                <w:color w:val="000000"/>
                <w:sz w:val="22"/>
                <w:szCs w:val="22"/>
                <w:lang w:val="hr-HR"/>
              </w:rPr>
              <w:t>30</w:t>
            </w:r>
            <w:r w:rsidRPr="009A4B90">
              <w:rPr>
                <w:color w:val="000000"/>
                <w:sz w:val="22"/>
                <w:szCs w:val="22"/>
                <w:lang w:val="hr-HR"/>
              </w:rPr>
              <w:t xml:space="preserve"> %</w:t>
            </w:r>
          </w:p>
        </w:tc>
      </w:tr>
      <w:tr w:rsidR="009414B1" w:rsidRPr="009A4B90" w14:paraId="304621C7" w14:textId="77777777" w:rsidTr="008B35FF">
        <w:trPr>
          <w:trHeight w:val="289"/>
        </w:trPr>
        <w:tc>
          <w:tcPr>
            <w:tcW w:w="809" w:type="dxa"/>
            <w:tcBorders>
              <w:top w:val="nil"/>
              <w:left w:val="single" w:sz="8" w:space="0" w:color="auto"/>
              <w:bottom w:val="nil"/>
              <w:right w:val="nil"/>
            </w:tcBorders>
            <w:shd w:val="clear" w:color="auto" w:fill="auto"/>
            <w:noWrap/>
            <w:vAlign w:val="center"/>
            <w:hideMark/>
          </w:tcPr>
          <w:p w14:paraId="29BE470A" w14:textId="4A343DA6" w:rsidR="009414B1" w:rsidRPr="009A4B90" w:rsidRDefault="00245B7A" w:rsidP="00C22F1C">
            <w:pPr>
              <w:jc w:val="center"/>
              <w:rPr>
                <w:color w:val="000000"/>
                <w:sz w:val="22"/>
                <w:szCs w:val="22"/>
                <w:lang w:val="hr-HR"/>
              </w:rPr>
            </w:pPr>
            <w:r>
              <w:rPr>
                <w:color w:val="000000"/>
                <w:sz w:val="22"/>
                <w:szCs w:val="22"/>
                <w:lang w:val="hr-HR"/>
              </w:rPr>
              <w:t>5</w:t>
            </w:r>
            <w:r w:rsidR="009414B1" w:rsidRPr="009A4B90">
              <w:rPr>
                <w:color w:val="000000"/>
                <w:sz w:val="22"/>
                <w:szCs w:val="22"/>
                <w:lang w:val="hr-HR"/>
              </w:rPr>
              <w:t>.</w:t>
            </w:r>
          </w:p>
        </w:tc>
        <w:tc>
          <w:tcPr>
            <w:tcW w:w="2099" w:type="dxa"/>
            <w:tcBorders>
              <w:top w:val="nil"/>
              <w:left w:val="single" w:sz="8" w:space="0" w:color="auto"/>
              <w:bottom w:val="nil"/>
              <w:right w:val="single" w:sz="8" w:space="0" w:color="auto"/>
            </w:tcBorders>
            <w:shd w:val="clear" w:color="auto" w:fill="auto"/>
            <w:noWrap/>
            <w:vAlign w:val="center"/>
            <w:hideMark/>
          </w:tcPr>
          <w:p w14:paraId="03B8071B" w14:textId="30E8A476" w:rsidR="009414B1" w:rsidRPr="009A4B90" w:rsidRDefault="009609F1" w:rsidP="00C22F1C">
            <w:pPr>
              <w:rPr>
                <w:color w:val="000000"/>
                <w:sz w:val="22"/>
                <w:szCs w:val="22"/>
                <w:lang w:val="hr-HR"/>
              </w:rPr>
            </w:pPr>
            <w:r w:rsidRPr="009A4B90">
              <w:rPr>
                <w:color w:val="000000"/>
                <w:sz w:val="22"/>
                <w:szCs w:val="22"/>
                <w:lang w:val="hr-HR"/>
              </w:rPr>
              <w:t>6</w:t>
            </w:r>
            <w:r w:rsidR="00DD1B98">
              <w:rPr>
                <w:color w:val="000000"/>
                <w:sz w:val="22"/>
                <w:szCs w:val="22"/>
                <w:lang w:val="hr-HR"/>
              </w:rPr>
              <w:t>2</w:t>
            </w:r>
            <w:r w:rsidR="009414B1" w:rsidRPr="009A4B90">
              <w:rPr>
                <w:color w:val="000000"/>
                <w:sz w:val="22"/>
                <w:szCs w:val="22"/>
                <w:lang w:val="hr-HR"/>
              </w:rPr>
              <w:t xml:space="preserve">- </w:t>
            </w:r>
            <w:r w:rsidRPr="009A4B90">
              <w:rPr>
                <w:color w:val="000000"/>
                <w:sz w:val="22"/>
                <w:szCs w:val="22"/>
                <w:lang w:val="hr-HR"/>
              </w:rPr>
              <w:t xml:space="preserve">Prihodi od </w:t>
            </w:r>
            <w:r w:rsidR="00DD1B98">
              <w:rPr>
                <w:color w:val="000000"/>
                <w:sz w:val="22"/>
                <w:szCs w:val="22"/>
                <w:lang w:val="hr-HR"/>
              </w:rPr>
              <w:t>donacije</w:t>
            </w:r>
          </w:p>
        </w:tc>
        <w:tc>
          <w:tcPr>
            <w:tcW w:w="1843" w:type="dxa"/>
            <w:tcBorders>
              <w:top w:val="nil"/>
              <w:left w:val="nil"/>
              <w:bottom w:val="nil"/>
              <w:right w:val="single" w:sz="4" w:space="0" w:color="auto"/>
            </w:tcBorders>
            <w:shd w:val="clear" w:color="auto" w:fill="auto"/>
            <w:noWrap/>
            <w:vAlign w:val="center"/>
            <w:hideMark/>
          </w:tcPr>
          <w:p w14:paraId="45F53A53" w14:textId="77777777" w:rsidR="009414B1" w:rsidRPr="009A4B90" w:rsidRDefault="009414B1" w:rsidP="009A4B90">
            <w:pPr>
              <w:jc w:val="right"/>
              <w:rPr>
                <w:color w:val="000000"/>
                <w:sz w:val="22"/>
                <w:szCs w:val="22"/>
                <w:lang w:val="hr-HR"/>
              </w:rPr>
            </w:pPr>
            <w:r w:rsidRPr="009A4B90">
              <w:rPr>
                <w:color w:val="000000"/>
                <w:sz w:val="22"/>
                <w:szCs w:val="22"/>
                <w:lang w:val="hr-HR"/>
              </w:rPr>
              <w:t>0,00</w:t>
            </w:r>
          </w:p>
        </w:tc>
        <w:tc>
          <w:tcPr>
            <w:tcW w:w="1701" w:type="dxa"/>
            <w:tcBorders>
              <w:top w:val="nil"/>
              <w:left w:val="nil"/>
              <w:bottom w:val="nil"/>
              <w:right w:val="nil"/>
            </w:tcBorders>
            <w:shd w:val="clear" w:color="auto" w:fill="auto"/>
            <w:noWrap/>
            <w:vAlign w:val="center"/>
            <w:hideMark/>
          </w:tcPr>
          <w:p w14:paraId="6BCB5FBC" w14:textId="49514904" w:rsidR="009414B1" w:rsidRPr="009A4B90" w:rsidRDefault="009609F1" w:rsidP="009A4B90">
            <w:pPr>
              <w:jc w:val="right"/>
              <w:rPr>
                <w:color w:val="000000"/>
                <w:sz w:val="22"/>
                <w:szCs w:val="22"/>
                <w:lang w:val="hr-HR"/>
              </w:rPr>
            </w:pPr>
            <w:r w:rsidRPr="009A4B90">
              <w:rPr>
                <w:color w:val="000000"/>
                <w:sz w:val="22"/>
                <w:szCs w:val="22"/>
                <w:lang w:val="hr-HR"/>
              </w:rPr>
              <w:t xml:space="preserve">       0</w:t>
            </w:r>
            <w:r w:rsidR="009414B1" w:rsidRPr="009A4B90">
              <w:rPr>
                <w:color w:val="000000"/>
                <w:sz w:val="22"/>
                <w:szCs w:val="22"/>
                <w:lang w:val="hr-HR"/>
              </w:rPr>
              <w:t>,00</w:t>
            </w:r>
          </w:p>
        </w:tc>
        <w:tc>
          <w:tcPr>
            <w:tcW w:w="1906" w:type="dxa"/>
            <w:tcBorders>
              <w:top w:val="nil"/>
              <w:left w:val="single" w:sz="8" w:space="0" w:color="auto"/>
              <w:bottom w:val="nil"/>
              <w:right w:val="single" w:sz="8" w:space="0" w:color="auto"/>
            </w:tcBorders>
            <w:shd w:val="clear" w:color="auto" w:fill="auto"/>
            <w:noWrap/>
            <w:vAlign w:val="center"/>
            <w:hideMark/>
          </w:tcPr>
          <w:p w14:paraId="7424AA7A" w14:textId="68FE172F" w:rsidR="009414B1" w:rsidRPr="009A4B90" w:rsidRDefault="00DD1B98" w:rsidP="009A4B90">
            <w:pPr>
              <w:jc w:val="right"/>
              <w:rPr>
                <w:color w:val="000000"/>
                <w:sz w:val="22"/>
                <w:szCs w:val="22"/>
                <w:lang w:val="hr-HR"/>
              </w:rPr>
            </w:pPr>
            <w:r>
              <w:rPr>
                <w:color w:val="000000"/>
                <w:sz w:val="22"/>
                <w:szCs w:val="22"/>
                <w:lang w:val="hr-HR"/>
              </w:rPr>
              <w:t>1.500</w:t>
            </w:r>
            <w:r w:rsidR="009414B1" w:rsidRPr="009A4B90">
              <w:rPr>
                <w:color w:val="000000"/>
                <w:sz w:val="22"/>
                <w:szCs w:val="22"/>
                <w:lang w:val="hr-HR"/>
              </w:rPr>
              <w:t>,00</w:t>
            </w:r>
          </w:p>
        </w:tc>
        <w:tc>
          <w:tcPr>
            <w:tcW w:w="1071" w:type="dxa"/>
            <w:tcBorders>
              <w:top w:val="nil"/>
              <w:left w:val="nil"/>
              <w:bottom w:val="nil"/>
              <w:right w:val="single" w:sz="8" w:space="0" w:color="auto"/>
            </w:tcBorders>
            <w:shd w:val="clear" w:color="auto" w:fill="auto"/>
            <w:noWrap/>
            <w:vAlign w:val="center"/>
          </w:tcPr>
          <w:p w14:paraId="3DACFBD6" w14:textId="77777777" w:rsidR="009414B1" w:rsidRPr="009A4B90" w:rsidRDefault="009414B1" w:rsidP="009A4B90">
            <w:pPr>
              <w:jc w:val="right"/>
              <w:rPr>
                <w:color w:val="000000"/>
                <w:sz w:val="22"/>
                <w:szCs w:val="22"/>
                <w:lang w:val="hr-HR"/>
              </w:rPr>
            </w:pPr>
            <w:r w:rsidRPr="009A4B90">
              <w:rPr>
                <w:color w:val="000000"/>
                <w:sz w:val="22"/>
                <w:szCs w:val="22"/>
                <w:lang w:val="hr-HR"/>
              </w:rPr>
              <w:t>0</w:t>
            </w:r>
          </w:p>
        </w:tc>
      </w:tr>
      <w:tr w:rsidR="009414B1" w:rsidRPr="009A4B90" w14:paraId="0B75BFA1" w14:textId="77777777" w:rsidTr="008B35FF">
        <w:trPr>
          <w:trHeight w:val="289"/>
        </w:trPr>
        <w:tc>
          <w:tcPr>
            <w:tcW w:w="290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D8A8B64" w14:textId="77777777" w:rsidR="009414B1" w:rsidRPr="009A4B90" w:rsidRDefault="009414B1" w:rsidP="00C22F1C">
            <w:pPr>
              <w:shd w:val="clear" w:color="auto" w:fill="BFBFBF"/>
              <w:jc w:val="center"/>
              <w:rPr>
                <w:color w:val="000000"/>
                <w:sz w:val="20"/>
                <w:szCs w:val="20"/>
                <w:lang w:val="hr-HR"/>
              </w:rPr>
            </w:pPr>
            <w:r w:rsidRPr="009A4B90">
              <w:rPr>
                <w:color w:val="000000"/>
                <w:sz w:val="20"/>
                <w:szCs w:val="20"/>
                <w:lang w:val="hr-HR"/>
              </w:rPr>
              <w:t>UKUPNO</w:t>
            </w:r>
          </w:p>
        </w:tc>
        <w:tc>
          <w:tcPr>
            <w:tcW w:w="1843" w:type="dxa"/>
            <w:tcBorders>
              <w:top w:val="single" w:sz="8" w:space="0" w:color="auto"/>
              <w:left w:val="nil"/>
              <w:bottom w:val="single" w:sz="8" w:space="0" w:color="auto"/>
              <w:right w:val="single" w:sz="4" w:space="0" w:color="auto"/>
            </w:tcBorders>
            <w:shd w:val="clear" w:color="000000" w:fill="D9D9D9"/>
            <w:noWrap/>
            <w:vAlign w:val="center"/>
            <w:hideMark/>
          </w:tcPr>
          <w:p w14:paraId="1712225E" w14:textId="2510EBF8" w:rsidR="009414B1" w:rsidRPr="009A4B90" w:rsidRDefault="009414B1" w:rsidP="009A4B90">
            <w:pPr>
              <w:shd w:val="clear" w:color="auto" w:fill="BFBFBF"/>
              <w:jc w:val="right"/>
              <w:rPr>
                <w:b/>
                <w:bCs/>
                <w:color w:val="000000"/>
                <w:sz w:val="22"/>
                <w:szCs w:val="22"/>
                <w:lang w:val="hr-HR"/>
              </w:rPr>
            </w:pPr>
            <w:r w:rsidRPr="009A4B90">
              <w:rPr>
                <w:b/>
                <w:bCs/>
                <w:color w:val="000000"/>
                <w:sz w:val="22"/>
                <w:szCs w:val="22"/>
                <w:lang w:val="hr-HR"/>
              </w:rPr>
              <w:t>1.</w:t>
            </w:r>
            <w:r w:rsidR="00DD1B98">
              <w:rPr>
                <w:b/>
                <w:bCs/>
                <w:color w:val="000000"/>
                <w:sz w:val="22"/>
                <w:szCs w:val="22"/>
                <w:lang w:val="hr-HR"/>
              </w:rPr>
              <w:t>927</w:t>
            </w:r>
            <w:r w:rsidRPr="009A4B90">
              <w:rPr>
                <w:b/>
                <w:bCs/>
                <w:color w:val="000000"/>
                <w:sz w:val="22"/>
                <w:szCs w:val="22"/>
                <w:lang w:val="hr-HR"/>
              </w:rPr>
              <w:t>.</w:t>
            </w:r>
            <w:r w:rsidR="00DD1B98">
              <w:rPr>
                <w:b/>
                <w:bCs/>
                <w:color w:val="000000"/>
                <w:sz w:val="22"/>
                <w:szCs w:val="22"/>
                <w:lang w:val="hr-HR"/>
              </w:rPr>
              <w:t>919</w:t>
            </w:r>
            <w:r w:rsidRPr="009A4B90">
              <w:rPr>
                <w:b/>
                <w:bCs/>
                <w:color w:val="000000"/>
                <w:sz w:val="22"/>
                <w:szCs w:val="22"/>
                <w:lang w:val="hr-HR"/>
              </w:rPr>
              <w:t>,</w:t>
            </w:r>
            <w:r w:rsidR="00DD1B98">
              <w:rPr>
                <w:b/>
                <w:bCs/>
                <w:color w:val="000000"/>
                <w:sz w:val="22"/>
                <w:szCs w:val="22"/>
                <w:lang w:val="hr-HR"/>
              </w:rPr>
              <w:t>71</w:t>
            </w:r>
          </w:p>
        </w:tc>
        <w:tc>
          <w:tcPr>
            <w:tcW w:w="1701" w:type="dxa"/>
            <w:tcBorders>
              <w:top w:val="single" w:sz="8" w:space="0" w:color="auto"/>
              <w:left w:val="nil"/>
              <w:bottom w:val="single" w:sz="8" w:space="0" w:color="auto"/>
              <w:right w:val="nil"/>
            </w:tcBorders>
            <w:shd w:val="clear" w:color="000000" w:fill="D9D9D9"/>
            <w:noWrap/>
            <w:vAlign w:val="center"/>
            <w:hideMark/>
          </w:tcPr>
          <w:p w14:paraId="2DBD3BFA" w14:textId="7569335A" w:rsidR="009414B1" w:rsidRPr="009A4B90" w:rsidRDefault="00DD1B98" w:rsidP="009A4B90">
            <w:pPr>
              <w:shd w:val="clear" w:color="auto" w:fill="BFBFBF"/>
              <w:jc w:val="right"/>
              <w:rPr>
                <w:b/>
                <w:bCs/>
                <w:color w:val="000000"/>
                <w:sz w:val="22"/>
                <w:szCs w:val="22"/>
                <w:lang w:val="hr-HR"/>
              </w:rPr>
            </w:pPr>
            <w:r>
              <w:rPr>
                <w:b/>
                <w:bCs/>
                <w:color w:val="000000"/>
                <w:sz w:val="22"/>
                <w:szCs w:val="22"/>
                <w:lang w:val="hr-HR"/>
              </w:rPr>
              <w:t>5</w:t>
            </w:r>
            <w:r w:rsidR="009414B1" w:rsidRPr="009A4B90">
              <w:rPr>
                <w:b/>
                <w:bCs/>
                <w:color w:val="000000"/>
                <w:sz w:val="22"/>
                <w:szCs w:val="22"/>
                <w:lang w:val="hr-HR"/>
              </w:rPr>
              <w:t>.</w:t>
            </w:r>
            <w:r>
              <w:rPr>
                <w:b/>
                <w:bCs/>
                <w:color w:val="000000"/>
                <w:sz w:val="22"/>
                <w:szCs w:val="22"/>
                <w:lang w:val="hr-HR"/>
              </w:rPr>
              <w:t>078</w:t>
            </w:r>
            <w:r w:rsidR="009414B1" w:rsidRPr="009A4B90">
              <w:rPr>
                <w:b/>
                <w:bCs/>
                <w:color w:val="000000"/>
                <w:sz w:val="22"/>
                <w:szCs w:val="22"/>
                <w:lang w:val="hr-HR"/>
              </w:rPr>
              <w:t>.</w:t>
            </w:r>
            <w:r>
              <w:rPr>
                <w:b/>
                <w:bCs/>
                <w:color w:val="000000"/>
                <w:sz w:val="22"/>
                <w:szCs w:val="22"/>
                <w:lang w:val="hr-HR"/>
              </w:rPr>
              <w:t>00</w:t>
            </w:r>
            <w:r w:rsidR="009414B1" w:rsidRPr="009A4B90">
              <w:rPr>
                <w:b/>
                <w:bCs/>
                <w:color w:val="000000"/>
                <w:sz w:val="22"/>
                <w:szCs w:val="22"/>
                <w:lang w:val="hr-HR"/>
              </w:rPr>
              <w:t>0,00</w:t>
            </w:r>
          </w:p>
        </w:tc>
        <w:tc>
          <w:tcPr>
            <w:tcW w:w="190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FB2B8C4" w14:textId="1F546AF9" w:rsidR="009414B1" w:rsidRPr="009A4B90" w:rsidRDefault="00DD1B98" w:rsidP="009A4B90">
            <w:pPr>
              <w:shd w:val="clear" w:color="auto" w:fill="BFBFBF"/>
              <w:jc w:val="right"/>
              <w:rPr>
                <w:b/>
                <w:bCs/>
                <w:color w:val="000000"/>
                <w:sz w:val="22"/>
                <w:szCs w:val="22"/>
                <w:lang w:val="hr-HR"/>
              </w:rPr>
            </w:pPr>
            <w:r>
              <w:rPr>
                <w:b/>
                <w:bCs/>
                <w:color w:val="000000"/>
                <w:sz w:val="22"/>
                <w:szCs w:val="22"/>
                <w:lang w:val="hr-HR"/>
              </w:rPr>
              <w:t>2</w:t>
            </w:r>
            <w:r w:rsidR="009414B1" w:rsidRPr="009A4B90">
              <w:rPr>
                <w:b/>
                <w:bCs/>
                <w:color w:val="000000"/>
                <w:sz w:val="22"/>
                <w:szCs w:val="22"/>
                <w:lang w:val="hr-HR"/>
              </w:rPr>
              <w:t>.</w:t>
            </w:r>
            <w:r>
              <w:rPr>
                <w:b/>
                <w:bCs/>
                <w:color w:val="000000"/>
                <w:sz w:val="22"/>
                <w:szCs w:val="22"/>
                <w:lang w:val="hr-HR"/>
              </w:rPr>
              <w:t>439</w:t>
            </w:r>
            <w:r w:rsidR="009414B1" w:rsidRPr="009A4B90">
              <w:rPr>
                <w:b/>
                <w:bCs/>
                <w:color w:val="000000"/>
                <w:sz w:val="22"/>
                <w:szCs w:val="22"/>
                <w:lang w:val="hr-HR"/>
              </w:rPr>
              <w:t>.</w:t>
            </w:r>
            <w:r>
              <w:rPr>
                <w:b/>
                <w:bCs/>
                <w:color w:val="000000"/>
                <w:sz w:val="22"/>
                <w:szCs w:val="22"/>
                <w:lang w:val="hr-HR"/>
              </w:rPr>
              <w:t>646</w:t>
            </w:r>
            <w:r w:rsidR="009414B1" w:rsidRPr="009A4B90">
              <w:rPr>
                <w:b/>
                <w:bCs/>
                <w:color w:val="000000"/>
                <w:sz w:val="22"/>
                <w:szCs w:val="22"/>
                <w:lang w:val="hr-HR"/>
              </w:rPr>
              <w:t>,</w:t>
            </w:r>
            <w:r>
              <w:rPr>
                <w:b/>
                <w:bCs/>
                <w:color w:val="000000"/>
                <w:sz w:val="22"/>
                <w:szCs w:val="22"/>
                <w:lang w:val="hr-HR"/>
              </w:rPr>
              <w:t>3</w:t>
            </w:r>
            <w:r w:rsidR="009609F1" w:rsidRPr="009A4B90">
              <w:rPr>
                <w:b/>
                <w:bCs/>
                <w:color w:val="000000"/>
                <w:sz w:val="22"/>
                <w:szCs w:val="22"/>
                <w:lang w:val="hr-HR"/>
              </w:rPr>
              <w:t>1</w:t>
            </w:r>
          </w:p>
        </w:tc>
        <w:tc>
          <w:tcPr>
            <w:tcW w:w="1071" w:type="dxa"/>
            <w:tcBorders>
              <w:top w:val="single" w:sz="8" w:space="0" w:color="auto"/>
              <w:left w:val="nil"/>
              <w:bottom w:val="single" w:sz="8" w:space="0" w:color="auto"/>
              <w:right w:val="single" w:sz="8" w:space="0" w:color="auto"/>
            </w:tcBorders>
            <w:shd w:val="clear" w:color="000000" w:fill="D9D9D9"/>
            <w:noWrap/>
            <w:vAlign w:val="center"/>
          </w:tcPr>
          <w:p w14:paraId="166713F8" w14:textId="692534EA" w:rsidR="009414B1" w:rsidRPr="009A4B90" w:rsidRDefault="009414B1" w:rsidP="009A4B90">
            <w:pPr>
              <w:shd w:val="clear" w:color="auto" w:fill="BFBFBF"/>
              <w:jc w:val="right"/>
              <w:rPr>
                <w:b/>
                <w:bCs/>
                <w:color w:val="000000"/>
                <w:sz w:val="22"/>
                <w:szCs w:val="22"/>
                <w:lang w:val="hr-HR"/>
              </w:rPr>
            </w:pPr>
            <w:r w:rsidRPr="009A4B90">
              <w:rPr>
                <w:b/>
                <w:bCs/>
                <w:color w:val="000000"/>
                <w:sz w:val="22"/>
                <w:szCs w:val="22"/>
                <w:lang w:val="hr-HR"/>
              </w:rPr>
              <w:t>1</w:t>
            </w:r>
            <w:r w:rsidR="00DD1B98">
              <w:rPr>
                <w:b/>
                <w:bCs/>
                <w:color w:val="000000"/>
                <w:sz w:val="22"/>
                <w:szCs w:val="22"/>
                <w:lang w:val="hr-HR"/>
              </w:rPr>
              <w:t>27</w:t>
            </w:r>
            <w:r w:rsidRPr="009A4B90">
              <w:rPr>
                <w:b/>
                <w:bCs/>
                <w:color w:val="000000"/>
                <w:sz w:val="22"/>
                <w:szCs w:val="22"/>
                <w:lang w:val="hr-HR"/>
              </w:rPr>
              <w:t xml:space="preserve"> %</w:t>
            </w:r>
          </w:p>
        </w:tc>
      </w:tr>
    </w:tbl>
    <w:p w14:paraId="3F452F3F" w14:textId="77777777" w:rsidR="009414B1" w:rsidRPr="009A4B90" w:rsidRDefault="009414B1" w:rsidP="00A44E1A">
      <w:pPr>
        <w:tabs>
          <w:tab w:val="center" w:pos="4536"/>
          <w:tab w:val="right" w:pos="9072"/>
        </w:tabs>
        <w:jc w:val="both"/>
        <w:rPr>
          <w:b/>
          <w:sz w:val="22"/>
          <w:szCs w:val="22"/>
          <w:lang w:val="hr-HR"/>
        </w:rPr>
      </w:pPr>
    </w:p>
    <w:p w14:paraId="5C3260B9" w14:textId="77777777" w:rsidR="009414B1" w:rsidRPr="009A4B90" w:rsidRDefault="009414B1" w:rsidP="00A44E1A">
      <w:pPr>
        <w:tabs>
          <w:tab w:val="center" w:pos="4536"/>
          <w:tab w:val="right" w:pos="9072"/>
        </w:tabs>
        <w:jc w:val="both"/>
        <w:rPr>
          <w:b/>
          <w:sz w:val="22"/>
          <w:szCs w:val="22"/>
          <w:lang w:val="hr-HR"/>
        </w:rPr>
      </w:pPr>
    </w:p>
    <w:p w14:paraId="13B57512" w14:textId="77777777" w:rsidR="00D65107" w:rsidRPr="009A4B90" w:rsidRDefault="00D65107" w:rsidP="00E517F0">
      <w:pPr>
        <w:tabs>
          <w:tab w:val="left" w:pos="2925"/>
        </w:tabs>
        <w:jc w:val="both"/>
        <w:rPr>
          <w:sz w:val="22"/>
          <w:szCs w:val="22"/>
          <w:lang w:val="hr-HR"/>
        </w:rPr>
      </w:pPr>
    </w:p>
    <w:tbl>
      <w:tblPr>
        <w:tblW w:w="9356" w:type="dxa"/>
        <w:tblInd w:w="108" w:type="dxa"/>
        <w:tblLook w:val="04A0" w:firstRow="1" w:lastRow="0" w:firstColumn="1" w:lastColumn="0" w:noHBand="0" w:noVBand="1"/>
      </w:tblPr>
      <w:tblGrid>
        <w:gridCol w:w="736"/>
        <w:gridCol w:w="2099"/>
        <w:gridCol w:w="1843"/>
        <w:gridCol w:w="1843"/>
        <w:gridCol w:w="1559"/>
        <w:gridCol w:w="1276"/>
      </w:tblGrid>
      <w:tr w:rsidR="0084022E" w:rsidRPr="009A4B90" w14:paraId="368A504F" w14:textId="77777777" w:rsidTr="009A4B90">
        <w:trPr>
          <w:trHeight w:val="289"/>
        </w:trPr>
        <w:tc>
          <w:tcPr>
            <w:tcW w:w="9356" w:type="dxa"/>
            <w:gridSpan w:val="6"/>
            <w:tcBorders>
              <w:top w:val="nil"/>
              <w:left w:val="nil"/>
              <w:bottom w:val="single" w:sz="8" w:space="0" w:color="auto"/>
              <w:right w:val="nil"/>
            </w:tcBorders>
            <w:shd w:val="clear" w:color="auto" w:fill="auto"/>
            <w:noWrap/>
            <w:vAlign w:val="bottom"/>
            <w:hideMark/>
          </w:tcPr>
          <w:p w14:paraId="3359018A" w14:textId="77777777" w:rsidR="0084022E" w:rsidRPr="009A4B90" w:rsidRDefault="0087336D" w:rsidP="0087336D">
            <w:pPr>
              <w:rPr>
                <w:b/>
                <w:bCs/>
                <w:color w:val="000000"/>
                <w:sz w:val="22"/>
                <w:szCs w:val="22"/>
                <w:lang w:val="hr-HR" w:eastAsia="hr-HR"/>
              </w:rPr>
            </w:pPr>
            <w:r w:rsidRPr="009A4B90">
              <w:rPr>
                <w:b/>
                <w:bCs/>
                <w:color w:val="000000"/>
                <w:sz w:val="22"/>
                <w:szCs w:val="22"/>
                <w:lang w:val="hr-HR" w:eastAsia="hr-HR"/>
              </w:rPr>
              <w:t xml:space="preserve">Tablica </w:t>
            </w:r>
            <w:r w:rsidR="009414B1" w:rsidRPr="009A4B90">
              <w:rPr>
                <w:b/>
                <w:bCs/>
                <w:color w:val="000000"/>
                <w:sz w:val="22"/>
                <w:szCs w:val="22"/>
                <w:lang w:val="hr-HR" w:eastAsia="hr-HR"/>
              </w:rPr>
              <w:t>5</w:t>
            </w:r>
            <w:r w:rsidRPr="009A4B90">
              <w:rPr>
                <w:b/>
                <w:bCs/>
                <w:color w:val="000000"/>
                <w:sz w:val="22"/>
                <w:szCs w:val="22"/>
                <w:lang w:val="hr-HR" w:eastAsia="hr-HR"/>
              </w:rPr>
              <w:t xml:space="preserve">. Rashodi prema </w:t>
            </w:r>
            <w:r w:rsidR="00282F30" w:rsidRPr="009A4B90">
              <w:rPr>
                <w:b/>
                <w:bCs/>
                <w:color w:val="000000"/>
                <w:sz w:val="22"/>
                <w:szCs w:val="22"/>
                <w:lang w:val="hr-HR" w:eastAsia="hr-HR"/>
              </w:rPr>
              <w:t>izvorima financiranja</w:t>
            </w:r>
          </w:p>
          <w:p w14:paraId="789CE857" w14:textId="77777777" w:rsidR="0087336D" w:rsidRPr="009A4B90" w:rsidRDefault="0087336D" w:rsidP="0087336D">
            <w:pPr>
              <w:rPr>
                <w:b/>
                <w:bCs/>
                <w:color w:val="000000"/>
                <w:sz w:val="22"/>
                <w:szCs w:val="22"/>
                <w:lang w:val="hr-HR" w:eastAsia="hr-HR"/>
              </w:rPr>
            </w:pPr>
          </w:p>
        </w:tc>
      </w:tr>
      <w:tr w:rsidR="0084022E" w:rsidRPr="009A4B90" w14:paraId="3C24B0D1" w14:textId="77777777" w:rsidTr="009A4B90">
        <w:trPr>
          <w:trHeight w:val="275"/>
        </w:trPr>
        <w:tc>
          <w:tcPr>
            <w:tcW w:w="736" w:type="dxa"/>
            <w:tcBorders>
              <w:top w:val="nil"/>
              <w:left w:val="single" w:sz="8" w:space="0" w:color="auto"/>
              <w:bottom w:val="single" w:sz="4" w:space="0" w:color="auto"/>
              <w:right w:val="nil"/>
            </w:tcBorders>
            <w:shd w:val="clear" w:color="auto" w:fill="BFBFBF"/>
            <w:noWrap/>
            <w:vAlign w:val="center"/>
            <w:hideMark/>
          </w:tcPr>
          <w:p w14:paraId="7337C688" w14:textId="77777777" w:rsidR="0084022E" w:rsidRPr="009A4B90" w:rsidRDefault="0084022E">
            <w:pPr>
              <w:jc w:val="center"/>
              <w:rPr>
                <w:color w:val="000000"/>
                <w:sz w:val="22"/>
                <w:szCs w:val="22"/>
                <w:lang w:val="hr-HR"/>
              </w:rPr>
            </w:pPr>
            <w:r w:rsidRPr="009A4B90">
              <w:rPr>
                <w:color w:val="000000"/>
                <w:sz w:val="22"/>
                <w:szCs w:val="22"/>
                <w:lang w:val="hr-HR"/>
              </w:rPr>
              <w:t>red.br</w:t>
            </w:r>
          </w:p>
        </w:tc>
        <w:tc>
          <w:tcPr>
            <w:tcW w:w="2099" w:type="dxa"/>
            <w:tcBorders>
              <w:top w:val="nil"/>
              <w:left w:val="single" w:sz="8" w:space="0" w:color="auto"/>
              <w:bottom w:val="single" w:sz="4" w:space="0" w:color="auto"/>
              <w:right w:val="single" w:sz="8" w:space="0" w:color="auto"/>
            </w:tcBorders>
            <w:shd w:val="clear" w:color="auto" w:fill="BFBFBF"/>
            <w:noWrap/>
            <w:vAlign w:val="center"/>
            <w:hideMark/>
          </w:tcPr>
          <w:p w14:paraId="3DC83576" w14:textId="77777777" w:rsidR="0084022E" w:rsidRPr="009A4B90" w:rsidRDefault="006B4695">
            <w:pPr>
              <w:jc w:val="center"/>
              <w:rPr>
                <w:color w:val="000000"/>
                <w:sz w:val="20"/>
                <w:szCs w:val="20"/>
                <w:lang w:val="hr-HR"/>
              </w:rPr>
            </w:pPr>
            <w:r w:rsidRPr="009A4B90">
              <w:rPr>
                <w:color w:val="000000"/>
                <w:sz w:val="20"/>
                <w:szCs w:val="20"/>
                <w:lang w:val="hr-HR"/>
              </w:rPr>
              <w:t>VRSTA IZVORA</w:t>
            </w:r>
          </w:p>
        </w:tc>
        <w:tc>
          <w:tcPr>
            <w:tcW w:w="1843" w:type="dxa"/>
            <w:tcBorders>
              <w:top w:val="nil"/>
              <w:left w:val="nil"/>
              <w:bottom w:val="single" w:sz="4" w:space="0" w:color="auto"/>
              <w:right w:val="single" w:sz="4" w:space="0" w:color="auto"/>
            </w:tcBorders>
            <w:shd w:val="clear" w:color="auto" w:fill="BFBFBF"/>
            <w:noWrap/>
            <w:vAlign w:val="center"/>
            <w:hideMark/>
          </w:tcPr>
          <w:p w14:paraId="44B7B2A1" w14:textId="6AD34EAB" w:rsidR="0084022E" w:rsidRPr="009A4B90" w:rsidRDefault="006B4695" w:rsidP="006B4695">
            <w:pPr>
              <w:jc w:val="center"/>
              <w:rPr>
                <w:color w:val="000000"/>
                <w:sz w:val="20"/>
                <w:szCs w:val="20"/>
                <w:lang w:val="hr-HR"/>
              </w:rPr>
            </w:pPr>
            <w:r w:rsidRPr="009A4B90">
              <w:rPr>
                <w:color w:val="000000"/>
                <w:sz w:val="20"/>
                <w:szCs w:val="20"/>
                <w:lang w:val="hr-HR"/>
              </w:rPr>
              <w:t>Izvršenje proračuna 1-6/202</w:t>
            </w:r>
            <w:r w:rsidR="00DD1B98">
              <w:rPr>
                <w:color w:val="000000"/>
                <w:sz w:val="20"/>
                <w:szCs w:val="20"/>
                <w:lang w:val="hr-HR"/>
              </w:rPr>
              <w:t>4</w:t>
            </w:r>
            <w:r w:rsidRPr="009A4B90">
              <w:rPr>
                <w:color w:val="000000"/>
                <w:sz w:val="20"/>
                <w:szCs w:val="20"/>
                <w:lang w:val="hr-HR"/>
              </w:rPr>
              <w:t>.</w:t>
            </w:r>
          </w:p>
        </w:tc>
        <w:tc>
          <w:tcPr>
            <w:tcW w:w="1843" w:type="dxa"/>
            <w:tcBorders>
              <w:top w:val="nil"/>
              <w:left w:val="nil"/>
              <w:bottom w:val="single" w:sz="4" w:space="0" w:color="auto"/>
              <w:right w:val="nil"/>
            </w:tcBorders>
            <w:shd w:val="clear" w:color="auto" w:fill="BFBFBF"/>
            <w:noWrap/>
            <w:vAlign w:val="center"/>
            <w:hideMark/>
          </w:tcPr>
          <w:p w14:paraId="564C9E42" w14:textId="3BE3A996" w:rsidR="0084022E" w:rsidRPr="009A4B90" w:rsidRDefault="00DD1B98">
            <w:pPr>
              <w:jc w:val="center"/>
              <w:rPr>
                <w:color w:val="000000"/>
                <w:sz w:val="20"/>
                <w:szCs w:val="20"/>
                <w:lang w:val="hr-HR"/>
              </w:rPr>
            </w:pPr>
            <w:r>
              <w:rPr>
                <w:color w:val="000000"/>
                <w:sz w:val="20"/>
                <w:szCs w:val="20"/>
                <w:lang w:val="hr-HR"/>
              </w:rPr>
              <w:t>Izvorni plan</w:t>
            </w:r>
            <w:r w:rsidR="006B4695" w:rsidRPr="009A4B90">
              <w:rPr>
                <w:color w:val="000000"/>
                <w:sz w:val="20"/>
                <w:szCs w:val="20"/>
                <w:lang w:val="hr-HR"/>
              </w:rPr>
              <w:t xml:space="preserve"> 202</w:t>
            </w:r>
            <w:r>
              <w:rPr>
                <w:color w:val="000000"/>
                <w:sz w:val="20"/>
                <w:szCs w:val="20"/>
                <w:lang w:val="hr-HR"/>
              </w:rPr>
              <w:t>5</w:t>
            </w:r>
            <w:r w:rsidR="006B4695" w:rsidRPr="009A4B90">
              <w:rPr>
                <w:color w:val="000000"/>
                <w:sz w:val="20"/>
                <w:szCs w:val="20"/>
                <w:lang w:val="hr-HR"/>
              </w:rPr>
              <w:t>.</w:t>
            </w:r>
          </w:p>
        </w:tc>
        <w:tc>
          <w:tcPr>
            <w:tcW w:w="1559" w:type="dxa"/>
            <w:tcBorders>
              <w:top w:val="nil"/>
              <w:left w:val="single" w:sz="8" w:space="0" w:color="auto"/>
              <w:bottom w:val="single" w:sz="4" w:space="0" w:color="auto"/>
              <w:right w:val="single" w:sz="8" w:space="0" w:color="auto"/>
            </w:tcBorders>
            <w:shd w:val="clear" w:color="auto" w:fill="BFBFBF"/>
            <w:noWrap/>
            <w:vAlign w:val="center"/>
            <w:hideMark/>
          </w:tcPr>
          <w:p w14:paraId="546026A9" w14:textId="41383B2F" w:rsidR="0084022E" w:rsidRPr="009A4B90" w:rsidRDefault="006B4695">
            <w:pPr>
              <w:jc w:val="center"/>
              <w:rPr>
                <w:color w:val="000000"/>
                <w:sz w:val="20"/>
                <w:szCs w:val="20"/>
                <w:lang w:val="hr-HR"/>
              </w:rPr>
            </w:pPr>
            <w:r w:rsidRPr="009A4B90">
              <w:rPr>
                <w:color w:val="000000"/>
                <w:sz w:val="20"/>
                <w:szCs w:val="20"/>
                <w:lang w:val="hr-HR"/>
              </w:rPr>
              <w:t xml:space="preserve">Izvršenje proračuna za </w:t>
            </w:r>
            <w:r w:rsidR="0031291B" w:rsidRPr="009A4B90">
              <w:rPr>
                <w:color w:val="000000"/>
                <w:sz w:val="20"/>
                <w:szCs w:val="20"/>
                <w:lang w:val="hr-HR"/>
              </w:rPr>
              <w:t xml:space="preserve"> </w:t>
            </w:r>
            <w:r w:rsidRPr="009A4B90">
              <w:rPr>
                <w:color w:val="000000"/>
                <w:sz w:val="20"/>
                <w:szCs w:val="20"/>
                <w:lang w:val="hr-HR"/>
              </w:rPr>
              <w:t>1-6/202</w:t>
            </w:r>
            <w:r w:rsidR="00DD1B98">
              <w:rPr>
                <w:color w:val="000000"/>
                <w:sz w:val="20"/>
                <w:szCs w:val="20"/>
                <w:lang w:val="hr-HR"/>
              </w:rPr>
              <w:t>5</w:t>
            </w:r>
            <w:r w:rsidRPr="009A4B90">
              <w:rPr>
                <w:color w:val="000000"/>
                <w:sz w:val="20"/>
                <w:szCs w:val="20"/>
                <w:lang w:val="hr-HR"/>
              </w:rPr>
              <w:t>.</w:t>
            </w:r>
          </w:p>
        </w:tc>
        <w:tc>
          <w:tcPr>
            <w:tcW w:w="1276" w:type="dxa"/>
            <w:tcBorders>
              <w:top w:val="nil"/>
              <w:left w:val="nil"/>
              <w:bottom w:val="single" w:sz="4" w:space="0" w:color="auto"/>
              <w:right w:val="single" w:sz="8" w:space="0" w:color="auto"/>
            </w:tcBorders>
            <w:shd w:val="clear" w:color="auto" w:fill="BFBFBF"/>
            <w:noWrap/>
            <w:vAlign w:val="center"/>
          </w:tcPr>
          <w:p w14:paraId="07B815B0" w14:textId="77777777" w:rsidR="0084022E" w:rsidRPr="009A4B90" w:rsidRDefault="006B4695" w:rsidP="006B4695">
            <w:pPr>
              <w:rPr>
                <w:color w:val="000000"/>
                <w:sz w:val="22"/>
                <w:szCs w:val="22"/>
                <w:lang w:val="hr-HR"/>
              </w:rPr>
            </w:pPr>
            <w:r w:rsidRPr="009A4B90">
              <w:rPr>
                <w:color w:val="000000"/>
                <w:sz w:val="22"/>
                <w:szCs w:val="22"/>
                <w:lang w:val="hr-HR"/>
              </w:rPr>
              <w:t>Index 5/3</w:t>
            </w:r>
          </w:p>
        </w:tc>
      </w:tr>
      <w:tr w:rsidR="0084022E" w:rsidRPr="009A4B90" w14:paraId="38B5039C" w14:textId="77777777" w:rsidTr="009A4B90">
        <w:trPr>
          <w:trHeight w:val="289"/>
        </w:trPr>
        <w:tc>
          <w:tcPr>
            <w:tcW w:w="736" w:type="dxa"/>
            <w:tcBorders>
              <w:top w:val="nil"/>
              <w:left w:val="single" w:sz="8" w:space="0" w:color="auto"/>
              <w:bottom w:val="single" w:sz="8" w:space="0" w:color="auto"/>
              <w:right w:val="nil"/>
            </w:tcBorders>
            <w:shd w:val="clear" w:color="auto" w:fill="auto"/>
            <w:noWrap/>
            <w:vAlign w:val="center"/>
            <w:hideMark/>
          </w:tcPr>
          <w:p w14:paraId="66A01E63" w14:textId="77777777" w:rsidR="0084022E" w:rsidRPr="009A4B90" w:rsidRDefault="0084022E">
            <w:pPr>
              <w:jc w:val="center"/>
              <w:rPr>
                <w:color w:val="000000"/>
                <w:sz w:val="18"/>
                <w:szCs w:val="18"/>
                <w:lang w:val="hr-HR"/>
              </w:rPr>
            </w:pPr>
            <w:r w:rsidRPr="009A4B90">
              <w:rPr>
                <w:color w:val="000000"/>
                <w:sz w:val="18"/>
                <w:szCs w:val="18"/>
                <w:lang w:val="hr-HR"/>
              </w:rPr>
              <w:t>1</w:t>
            </w:r>
          </w:p>
        </w:tc>
        <w:tc>
          <w:tcPr>
            <w:tcW w:w="2099" w:type="dxa"/>
            <w:tcBorders>
              <w:top w:val="nil"/>
              <w:left w:val="single" w:sz="8" w:space="0" w:color="auto"/>
              <w:bottom w:val="single" w:sz="8" w:space="0" w:color="auto"/>
              <w:right w:val="single" w:sz="8" w:space="0" w:color="auto"/>
            </w:tcBorders>
            <w:shd w:val="clear" w:color="auto" w:fill="auto"/>
            <w:noWrap/>
            <w:vAlign w:val="center"/>
            <w:hideMark/>
          </w:tcPr>
          <w:p w14:paraId="27BA9B5A" w14:textId="77777777" w:rsidR="0084022E" w:rsidRPr="009A4B90" w:rsidRDefault="0084022E">
            <w:pPr>
              <w:jc w:val="center"/>
              <w:rPr>
                <w:color w:val="000000"/>
                <w:sz w:val="18"/>
                <w:szCs w:val="18"/>
                <w:lang w:val="hr-HR"/>
              </w:rPr>
            </w:pPr>
            <w:r w:rsidRPr="009A4B90">
              <w:rPr>
                <w:color w:val="000000"/>
                <w:sz w:val="18"/>
                <w:szCs w:val="18"/>
                <w:lang w:val="hr-HR"/>
              </w:rPr>
              <w:t>2</w:t>
            </w:r>
          </w:p>
        </w:tc>
        <w:tc>
          <w:tcPr>
            <w:tcW w:w="1843" w:type="dxa"/>
            <w:tcBorders>
              <w:top w:val="nil"/>
              <w:left w:val="nil"/>
              <w:bottom w:val="single" w:sz="8" w:space="0" w:color="auto"/>
              <w:right w:val="single" w:sz="4" w:space="0" w:color="auto"/>
            </w:tcBorders>
            <w:shd w:val="clear" w:color="auto" w:fill="auto"/>
            <w:noWrap/>
            <w:vAlign w:val="center"/>
            <w:hideMark/>
          </w:tcPr>
          <w:p w14:paraId="3CE687F0" w14:textId="77777777" w:rsidR="0084022E" w:rsidRPr="009A4B90" w:rsidRDefault="0084022E">
            <w:pPr>
              <w:jc w:val="center"/>
              <w:rPr>
                <w:color w:val="000000"/>
                <w:sz w:val="18"/>
                <w:szCs w:val="18"/>
                <w:lang w:val="hr-HR"/>
              </w:rPr>
            </w:pPr>
            <w:r w:rsidRPr="009A4B90">
              <w:rPr>
                <w:color w:val="000000"/>
                <w:sz w:val="18"/>
                <w:szCs w:val="18"/>
                <w:lang w:val="hr-HR"/>
              </w:rPr>
              <w:t>3</w:t>
            </w:r>
          </w:p>
        </w:tc>
        <w:tc>
          <w:tcPr>
            <w:tcW w:w="1843" w:type="dxa"/>
            <w:tcBorders>
              <w:top w:val="nil"/>
              <w:left w:val="nil"/>
              <w:bottom w:val="single" w:sz="8" w:space="0" w:color="auto"/>
              <w:right w:val="nil"/>
            </w:tcBorders>
            <w:shd w:val="clear" w:color="auto" w:fill="auto"/>
            <w:noWrap/>
            <w:vAlign w:val="center"/>
            <w:hideMark/>
          </w:tcPr>
          <w:p w14:paraId="72F9DD86" w14:textId="77777777" w:rsidR="0084022E" w:rsidRPr="009A4B90" w:rsidRDefault="0084022E">
            <w:pPr>
              <w:jc w:val="center"/>
              <w:rPr>
                <w:color w:val="000000"/>
                <w:sz w:val="18"/>
                <w:szCs w:val="18"/>
                <w:lang w:val="hr-HR"/>
              </w:rPr>
            </w:pPr>
            <w:r w:rsidRPr="009A4B90">
              <w:rPr>
                <w:color w:val="000000"/>
                <w:sz w:val="18"/>
                <w:szCs w:val="18"/>
                <w:lang w:val="hr-HR"/>
              </w:rPr>
              <w:t>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6B447A0" w14:textId="77777777" w:rsidR="0084022E" w:rsidRPr="009A4B90" w:rsidRDefault="0084022E">
            <w:pPr>
              <w:jc w:val="center"/>
              <w:rPr>
                <w:color w:val="000000"/>
                <w:sz w:val="18"/>
                <w:szCs w:val="18"/>
                <w:lang w:val="hr-HR"/>
              </w:rPr>
            </w:pPr>
            <w:r w:rsidRPr="009A4B90">
              <w:rPr>
                <w:color w:val="000000"/>
                <w:sz w:val="18"/>
                <w:szCs w:val="18"/>
                <w:lang w:val="hr-HR"/>
              </w:rPr>
              <w:t>5</w:t>
            </w:r>
          </w:p>
        </w:tc>
        <w:tc>
          <w:tcPr>
            <w:tcW w:w="1276" w:type="dxa"/>
            <w:tcBorders>
              <w:top w:val="nil"/>
              <w:left w:val="nil"/>
              <w:bottom w:val="single" w:sz="8" w:space="0" w:color="auto"/>
              <w:right w:val="single" w:sz="8" w:space="0" w:color="auto"/>
            </w:tcBorders>
            <w:shd w:val="clear" w:color="auto" w:fill="auto"/>
            <w:noWrap/>
            <w:vAlign w:val="center"/>
          </w:tcPr>
          <w:p w14:paraId="7D2CBF54" w14:textId="77777777" w:rsidR="0084022E" w:rsidRPr="009A4B90" w:rsidRDefault="00282F30">
            <w:pPr>
              <w:jc w:val="center"/>
              <w:rPr>
                <w:color w:val="000000"/>
                <w:sz w:val="18"/>
                <w:szCs w:val="18"/>
                <w:lang w:val="hr-HR"/>
              </w:rPr>
            </w:pPr>
            <w:r w:rsidRPr="009A4B90">
              <w:rPr>
                <w:color w:val="000000"/>
                <w:sz w:val="18"/>
                <w:szCs w:val="18"/>
                <w:lang w:val="hr-HR"/>
              </w:rPr>
              <w:t>6</w:t>
            </w:r>
          </w:p>
        </w:tc>
      </w:tr>
      <w:tr w:rsidR="0084022E" w:rsidRPr="009A4B90" w14:paraId="5D053B5F"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13584886" w14:textId="77777777" w:rsidR="0084022E" w:rsidRPr="009A4B90" w:rsidRDefault="0084022E">
            <w:pPr>
              <w:jc w:val="center"/>
              <w:rPr>
                <w:color w:val="000000"/>
                <w:sz w:val="22"/>
                <w:szCs w:val="22"/>
                <w:lang w:val="hr-HR"/>
              </w:rPr>
            </w:pPr>
            <w:r w:rsidRPr="009A4B90">
              <w:rPr>
                <w:color w:val="000000"/>
                <w:sz w:val="22"/>
                <w:szCs w:val="22"/>
                <w:lang w:val="hr-HR"/>
              </w:rPr>
              <w:t>1.</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3CE2EFC8" w14:textId="77777777" w:rsidR="0084022E" w:rsidRPr="009A4B90" w:rsidRDefault="006B4695" w:rsidP="006B4695">
            <w:pPr>
              <w:rPr>
                <w:color w:val="000000"/>
                <w:sz w:val="22"/>
                <w:szCs w:val="22"/>
                <w:lang w:val="hr-HR"/>
              </w:rPr>
            </w:pPr>
            <w:r w:rsidRPr="009A4B90">
              <w:rPr>
                <w:color w:val="000000"/>
                <w:sz w:val="22"/>
                <w:szCs w:val="22"/>
                <w:lang w:val="hr-HR"/>
              </w:rPr>
              <w:t>11 Opći prihodi i primici</w:t>
            </w:r>
          </w:p>
        </w:tc>
        <w:tc>
          <w:tcPr>
            <w:tcW w:w="1843" w:type="dxa"/>
            <w:tcBorders>
              <w:top w:val="nil"/>
              <w:left w:val="nil"/>
              <w:bottom w:val="single" w:sz="4" w:space="0" w:color="auto"/>
              <w:right w:val="single" w:sz="4" w:space="0" w:color="auto"/>
            </w:tcBorders>
            <w:shd w:val="clear" w:color="auto" w:fill="auto"/>
            <w:noWrap/>
            <w:vAlign w:val="center"/>
            <w:hideMark/>
          </w:tcPr>
          <w:p w14:paraId="6915A0D9" w14:textId="64B3F2EF" w:rsidR="0084022E" w:rsidRPr="009A4B90" w:rsidRDefault="00647F7B" w:rsidP="009A4B90">
            <w:pPr>
              <w:jc w:val="right"/>
              <w:rPr>
                <w:color w:val="000000"/>
                <w:sz w:val="22"/>
                <w:szCs w:val="22"/>
                <w:lang w:val="hr-HR"/>
              </w:rPr>
            </w:pPr>
            <w:r w:rsidRPr="009A4B90">
              <w:rPr>
                <w:color w:val="000000"/>
                <w:sz w:val="22"/>
                <w:szCs w:val="22"/>
                <w:lang w:val="hr-HR"/>
              </w:rPr>
              <w:t>5</w:t>
            </w:r>
            <w:r w:rsidR="00245B7A">
              <w:rPr>
                <w:color w:val="000000"/>
                <w:sz w:val="22"/>
                <w:szCs w:val="22"/>
                <w:lang w:val="hr-HR"/>
              </w:rPr>
              <w:t>64</w:t>
            </w:r>
            <w:r w:rsidR="0062415F" w:rsidRPr="009A4B90">
              <w:rPr>
                <w:color w:val="000000"/>
                <w:sz w:val="22"/>
                <w:szCs w:val="22"/>
                <w:lang w:val="hr-HR"/>
              </w:rPr>
              <w:t>.</w:t>
            </w:r>
            <w:r w:rsidR="00245B7A">
              <w:rPr>
                <w:color w:val="000000"/>
                <w:sz w:val="22"/>
                <w:szCs w:val="22"/>
                <w:lang w:val="hr-HR"/>
              </w:rPr>
              <w:t>932</w:t>
            </w:r>
            <w:r w:rsidR="0062415F" w:rsidRPr="009A4B90">
              <w:rPr>
                <w:color w:val="000000"/>
                <w:sz w:val="22"/>
                <w:szCs w:val="22"/>
                <w:lang w:val="hr-HR"/>
              </w:rPr>
              <w:t>,</w:t>
            </w:r>
            <w:r w:rsidRPr="009A4B90">
              <w:rPr>
                <w:color w:val="000000"/>
                <w:sz w:val="22"/>
                <w:szCs w:val="22"/>
                <w:lang w:val="hr-HR"/>
              </w:rPr>
              <w:t>00</w:t>
            </w:r>
          </w:p>
        </w:tc>
        <w:tc>
          <w:tcPr>
            <w:tcW w:w="1843" w:type="dxa"/>
            <w:tcBorders>
              <w:top w:val="nil"/>
              <w:left w:val="nil"/>
              <w:bottom w:val="single" w:sz="4" w:space="0" w:color="auto"/>
              <w:right w:val="nil"/>
            </w:tcBorders>
            <w:shd w:val="clear" w:color="auto" w:fill="auto"/>
            <w:noWrap/>
            <w:vAlign w:val="center"/>
            <w:hideMark/>
          </w:tcPr>
          <w:p w14:paraId="7DC892D3" w14:textId="1D5FB2B4" w:rsidR="0084022E" w:rsidRPr="009A4B90" w:rsidRDefault="006B4695" w:rsidP="009A4B90">
            <w:pPr>
              <w:jc w:val="right"/>
              <w:rPr>
                <w:color w:val="000000"/>
                <w:sz w:val="22"/>
                <w:szCs w:val="22"/>
                <w:lang w:val="hr-HR"/>
              </w:rPr>
            </w:pPr>
            <w:r w:rsidRPr="009A4B90">
              <w:rPr>
                <w:color w:val="000000"/>
                <w:sz w:val="22"/>
                <w:szCs w:val="22"/>
                <w:lang w:val="hr-HR"/>
              </w:rPr>
              <w:t xml:space="preserve">  </w:t>
            </w:r>
            <w:r w:rsidR="0062415F" w:rsidRPr="009A4B90">
              <w:rPr>
                <w:color w:val="000000"/>
                <w:sz w:val="22"/>
                <w:szCs w:val="22"/>
                <w:lang w:val="hr-HR"/>
              </w:rPr>
              <w:t xml:space="preserve">   </w:t>
            </w:r>
            <w:r w:rsidRPr="009A4B90">
              <w:rPr>
                <w:color w:val="000000"/>
                <w:sz w:val="22"/>
                <w:szCs w:val="22"/>
                <w:lang w:val="hr-HR"/>
              </w:rPr>
              <w:t xml:space="preserve">  </w:t>
            </w:r>
            <w:r w:rsidR="0062415F" w:rsidRPr="009A4B90">
              <w:rPr>
                <w:color w:val="000000"/>
                <w:sz w:val="22"/>
                <w:szCs w:val="22"/>
                <w:lang w:val="hr-HR"/>
              </w:rPr>
              <w:t>1.</w:t>
            </w:r>
            <w:r w:rsidR="00245B7A">
              <w:rPr>
                <w:color w:val="000000"/>
                <w:sz w:val="22"/>
                <w:szCs w:val="22"/>
                <w:lang w:val="hr-HR"/>
              </w:rPr>
              <w:t>663</w:t>
            </w:r>
            <w:r w:rsidR="0062415F" w:rsidRPr="009A4B90">
              <w:rPr>
                <w:color w:val="000000"/>
                <w:sz w:val="22"/>
                <w:szCs w:val="22"/>
                <w:lang w:val="hr-HR"/>
              </w:rPr>
              <w:t>.</w:t>
            </w:r>
            <w:r w:rsidR="00245B7A">
              <w:rPr>
                <w:color w:val="000000"/>
                <w:sz w:val="22"/>
                <w:szCs w:val="22"/>
                <w:lang w:val="hr-HR"/>
              </w:rPr>
              <w:t>10</w:t>
            </w:r>
            <w:r w:rsidR="0062415F" w:rsidRPr="009A4B90">
              <w:rPr>
                <w:color w:val="000000"/>
                <w:sz w:val="22"/>
                <w:szCs w:val="22"/>
                <w:lang w:val="hr-HR"/>
              </w:rPr>
              <w:t>0,</w:t>
            </w:r>
            <w:r w:rsidR="00647F7B" w:rsidRPr="009A4B90">
              <w:rPr>
                <w:color w:val="000000"/>
                <w:sz w:val="22"/>
                <w:szCs w:val="22"/>
                <w:lang w:val="hr-HR"/>
              </w:rPr>
              <w:t>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12B59B5F" w14:textId="576862A3" w:rsidR="0084022E" w:rsidRPr="009A4B90" w:rsidRDefault="00245B7A" w:rsidP="009A4B90">
            <w:pPr>
              <w:jc w:val="right"/>
              <w:rPr>
                <w:color w:val="000000"/>
                <w:sz w:val="22"/>
                <w:szCs w:val="22"/>
                <w:lang w:val="hr-HR"/>
              </w:rPr>
            </w:pPr>
            <w:r>
              <w:rPr>
                <w:color w:val="000000"/>
                <w:sz w:val="22"/>
                <w:szCs w:val="22"/>
                <w:lang w:val="hr-HR"/>
              </w:rPr>
              <w:t>767</w:t>
            </w:r>
            <w:r w:rsidR="0062415F" w:rsidRPr="009A4B90">
              <w:rPr>
                <w:color w:val="000000"/>
                <w:sz w:val="22"/>
                <w:szCs w:val="22"/>
                <w:lang w:val="hr-HR"/>
              </w:rPr>
              <w:t>.</w:t>
            </w:r>
            <w:r>
              <w:rPr>
                <w:color w:val="000000"/>
                <w:sz w:val="22"/>
                <w:szCs w:val="22"/>
                <w:lang w:val="hr-HR"/>
              </w:rPr>
              <w:t>241</w:t>
            </w:r>
            <w:r w:rsidR="0062415F" w:rsidRPr="009A4B90">
              <w:rPr>
                <w:color w:val="000000"/>
                <w:sz w:val="22"/>
                <w:szCs w:val="22"/>
                <w:lang w:val="hr-HR"/>
              </w:rPr>
              <w:t>,</w:t>
            </w:r>
            <w:r>
              <w:rPr>
                <w:color w:val="000000"/>
                <w:sz w:val="22"/>
                <w:szCs w:val="22"/>
                <w:lang w:val="hr-HR"/>
              </w:rPr>
              <w:t>1</w:t>
            </w:r>
            <w:r w:rsidR="006B4695" w:rsidRPr="009A4B90">
              <w:rPr>
                <w:color w:val="000000"/>
                <w:sz w:val="22"/>
                <w:szCs w:val="22"/>
                <w:lang w:val="hr-HR"/>
              </w:rPr>
              <w:t>0</w:t>
            </w:r>
          </w:p>
        </w:tc>
        <w:tc>
          <w:tcPr>
            <w:tcW w:w="1276" w:type="dxa"/>
            <w:tcBorders>
              <w:top w:val="nil"/>
              <w:left w:val="nil"/>
              <w:bottom w:val="single" w:sz="4" w:space="0" w:color="auto"/>
              <w:right w:val="single" w:sz="8" w:space="0" w:color="auto"/>
            </w:tcBorders>
            <w:shd w:val="clear" w:color="auto" w:fill="auto"/>
            <w:noWrap/>
            <w:vAlign w:val="center"/>
          </w:tcPr>
          <w:p w14:paraId="5C164295" w14:textId="36E19DED" w:rsidR="0084022E" w:rsidRPr="009A4B90" w:rsidRDefault="006B4695" w:rsidP="009A4B90">
            <w:pPr>
              <w:jc w:val="right"/>
              <w:rPr>
                <w:color w:val="000000"/>
                <w:sz w:val="22"/>
                <w:szCs w:val="22"/>
                <w:lang w:val="hr-HR"/>
              </w:rPr>
            </w:pPr>
            <w:r w:rsidRPr="009A4B90">
              <w:rPr>
                <w:color w:val="000000"/>
                <w:sz w:val="22"/>
                <w:szCs w:val="22"/>
                <w:lang w:val="hr-HR"/>
              </w:rPr>
              <w:t>1</w:t>
            </w:r>
            <w:r w:rsidR="00245B7A">
              <w:rPr>
                <w:color w:val="000000"/>
                <w:sz w:val="22"/>
                <w:szCs w:val="22"/>
                <w:lang w:val="hr-HR"/>
              </w:rPr>
              <w:t>36</w:t>
            </w:r>
            <w:r w:rsidRPr="009A4B90">
              <w:rPr>
                <w:color w:val="000000"/>
                <w:sz w:val="22"/>
                <w:szCs w:val="22"/>
                <w:lang w:val="hr-HR"/>
              </w:rPr>
              <w:t xml:space="preserve"> %</w:t>
            </w:r>
          </w:p>
        </w:tc>
      </w:tr>
      <w:tr w:rsidR="0084022E" w:rsidRPr="009A4B90" w14:paraId="378DEFD6"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2CC3A546" w14:textId="77777777" w:rsidR="0084022E" w:rsidRPr="009A4B90" w:rsidRDefault="0084022E">
            <w:pPr>
              <w:jc w:val="center"/>
              <w:rPr>
                <w:color w:val="000000"/>
                <w:sz w:val="22"/>
                <w:szCs w:val="22"/>
                <w:lang w:val="hr-HR"/>
              </w:rPr>
            </w:pPr>
            <w:r w:rsidRPr="009A4B90">
              <w:rPr>
                <w:color w:val="000000"/>
                <w:sz w:val="22"/>
                <w:szCs w:val="22"/>
                <w:lang w:val="hr-HR"/>
              </w:rPr>
              <w:t>2.</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68A82846" w14:textId="2F5F2810" w:rsidR="0084022E" w:rsidRPr="009A4B90" w:rsidRDefault="00C8795D" w:rsidP="006B4695">
            <w:pPr>
              <w:rPr>
                <w:color w:val="000000"/>
                <w:sz w:val="22"/>
                <w:szCs w:val="22"/>
                <w:lang w:val="hr-HR"/>
              </w:rPr>
            </w:pPr>
            <w:r>
              <w:rPr>
                <w:color w:val="000000"/>
                <w:sz w:val="22"/>
                <w:szCs w:val="22"/>
                <w:lang w:val="hr-HR"/>
              </w:rPr>
              <w:t>43</w:t>
            </w:r>
            <w:r w:rsidR="006B4695" w:rsidRPr="009A4B90">
              <w:rPr>
                <w:color w:val="000000"/>
                <w:sz w:val="22"/>
                <w:szCs w:val="22"/>
                <w:lang w:val="hr-HR"/>
              </w:rPr>
              <w:t>-</w:t>
            </w:r>
            <w:r w:rsidR="004977CD">
              <w:rPr>
                <w:color w:val="000000"/>
                <w:sz w:val="22"/>
                <w:szCs w:val="22"/>
                <w:lang w:val="hr-HR"/>
              </w:rPr>
              <w:t>Roditeljske uplate</w:t>
            </w:r>
            <w:r w:rsidR="006B4695" w:rsidRPr="009A4B90">
              <w:rPr>
                <w:color w:val="000000"/>
                <w:sz w:val="22"/>
                <w:szCs w:val="22"/>
                <w:lang w:val="hr-HR"/>
              </w:rPr>
              <w:t>-korisnici</w:t>
            </w:r>
          </w:p>
        </w:tc>
        <w:tc>
          <w:tcPr>
            <w:tcW w:w="1843" w:type="dxa"/>
            <w:tcBorders>
              <w:top w:val="nil"/>
              <w:left w:val="nil"/>
              <w:bottom w:val="single" w:sz="4" w:space="0" w:color="auto"/>
              <w:right w:val="single" w:sz="4" w:space="0" w:color="auto"/>
            </w:tcBorders>
            <w:shd w:val="clear" w:color="auto" w:fill="auto"/>
            <w:noWrap/>
            <w:vAlign w:val="center"/>
            <w:hideMark/>
          </w:tcPr>
          <w:p w14:paraId="161DE7F7" w14:textId="77777777" w:rsidR="0084022E" w:rsidRPr="009A4B90" w:rsidRDefault="0062415F" w:rsidP="009A4B90">
            <w:pPr>
              <w:jc w:val="right"/>
              <w:rPr>
                <w:color w:val="000000"/>
                <w:sz w:val="22"/>
                <w:szCs w:val="22"/>
                <w:lang w:val="hr-HR"/>
              </w:rPr>
            </w:pPr>
            <w:r w:rsidRPr="009A4B90">
              <w:rPr>
                <w:color w:val="000000"/>
                <w:sz w:val="22"/>
                <w:szCs w:val="22"/>
                <w:lang w:val="hr-HR"/>
              </w:rPr>
              <w:t>2</w:t>
            </w:r>
            <w:r w:rsidR="00647F7B" w:rsidRPr="009A4B90">
              <w:rPr>
                <w:color w:val="000000"/>
                <w:sz w:val="22"/>
                <w:szCs w:val="22"/>
                <w:lang w:val="hr-HR"/>
              </w:rPr>
              <w:t>51</w:t>
            </w:r>
            <w:r w:rsidRPr="009A4B90">
              <w:rPr>
                <w:color w:val="000000"/>
                <w:sz w:val="22"/>
                <w:szCs w:val="22"/>
                <w:lang w:val="hr-HR"/>
              </w:rPr>
              <w:t>.</w:t>
            </w:r>
            <w:r w:rsidR="00647F7B" w:rsidRPr="009A4B90">
              <w:rPr>
                <w:color w:val="000000"/>
                <w:sz w:val="22"/>
                <w:szCs w:val="22"/>
                <w:lang w:val="hr-HR"/>
              </w:rPr>
              <w:t>821</w:t>
            </w:r>
            <w:r w:rsidRPr="009A4B90">
              <w:rPr>
                <w:color w:val="000000"/>
                <w:sz w:val="22"/>
                <w:szCs w:val="22"/>
                <w:lang w:val="hr-HR"/>
              </w:rPr>
              <w:t>,</w:t>
            </w:r>
            <w:r w:rsidR="00647F7B" w:rsidRPr="009A4B90">
              <w:rPr>
                <w:color w:val="000000"/>
                <w:sz w:val="22"/>
                <w:szCs w:val="22"/>
                <w:lang w:val="hr-HR"/>
              </w:rPr>
              <w:t>17</w:t>
            </w:r>
          </w:p>
        </w:tc>
        <w:tc>
          <w:tcPr>
            <w:tcW w:w="1843" w:type="dxa"/>
            <w:tcBorders>
              <w:top w:val="nil"/>
              <w:left w:val="nil"/>
              <w:bottom w:val="single" w:sz="4" w:space="0" w:color="auto"/>
              <w:right w:val="nil"/>
            </w:tcBorders>
            <w:shd w:val="clear" w:color="auto" w:fill="auto"/>
            <w:noWrap/>
            <w:vAlign w:val="center"/>
            <w:hideMark/>
          </w:tcPr>
          <w:p w14:paraId="14589CBD" w14:textId="67D84AA1" w:rsidR="0084022E" w:rsidRPr="009A4B90" w:rsidRDefault="0062415F" w:rsidP="009A4B90">
            <w:pPr>
              <w:jc w:val="right"/>
              <w:rPr>
                <w:color w:val="000000"/>
                <w:sz w:val="22"/>
                <w:szCs w:val="22"/>
                <w:lang w:val="hr-HR"/>
              </w:rPr>
            </w:pPr>
            <w:r w:rsidRPr="009A4B90">
              <w:rPr>
                <w:color w:val="000000"/>
                <w:sz w:val="22"/>
                <w:szCs w:val="22"/>
                <w:lang w:val="hr-HR"/>
              </w:rPr>
              <w:t xml:space="preserve">          5</w:t>
            </w:r>
            <w:r w:rsidR="002C55A6">
              <w:rPr>
                <w:color w:val="000000"/>
                <w:sz w:val="22"/>
                <w:szCs w:val="22"/>
                <w:lang w:val="hr-HR"/>
              </w:rPr>
              <w:t>64</w:t>
            </w:r>
            <w:r w:rsidR="006B4695" w:rsidRPr="009A4B90">
              <w:rPr>
                <w:color w:val="000000"/>
                <w:sz w:val="22"/>
                <w:szCs w:val="22"/>
                <w:lang w:val="hr-HR"/>
              </w:rPr>
              <w:t>.</w:t>
            </w:r>
            <w:r w:rsidR="002C55A6">
              <w:rPr>
                <w:color w:val="000000"/>
                <w:sz w:val="22"/>
                <w:szCs w:val="22"/>
                <w:lang w:val="hr-HR"/>
              </w:rPr>
              <w:t>50</w:t>
            </w:r>
            <w:r w:rsidR="009609F1" w:rsidRPr="009A4B90">
              <w:rPr>
                <w:color w:val="000000"/>
                <w:sz w:val="22"/>
                <w:szCs w:val="22"/>
                <w:lang w:val="hr-HR"/>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2681C65E" w14:textId="463EB252" w:rsidR="0084022E" w:rsidRPr="009A4B90" w:rsidRDefault="0062415F" w:rsidP="009A4B90">
            <w:pPr>
              <w:jc w:val="right"/>
              <w:rPr>
                <w:color w:val="000000"/>
                <w:sz w:val="22"/>
                <w:szCs w:val="22"/>
                <w:lang w:val="hr-HR"/>
              </w:rPr>
            </w:pPr>
            <w:r w:rsidRPr="009A4B90">
              <w:rPr>
                <w:color w:val="000000"/>
                <w:sz w:val="22"/>
                <w:szCs w:val="22"/>
                <w:lang w:val="hr-HR"/>
              </w:rPr>
              <w:t>2</w:t>
            </w:r>
            <w:r w:rsidR="002C55A6">
              <w:rPr>
                <w:color w:val="000000"/>
                <w:sz w:val="22"/>
                <w:szCs w:val="22"/>
                <w:lang w:val="hr-HR"/>
              </w:rPr>
              <w:t>80</w:t>
            </w:r>
            <w:r w:rsidRPr="009A4B90">
              <w:rPr>
                <w:color w:val="000000"/>
                <w:sz w:val="22"/>
                <w:szCs w:val="22"/>
                <w:lang w:val="hr-HR"/>
              </w:rPr>
              <w:t>.</w:t>
            </w:r>
            <w:r w:rsidR="002C55A6">
              <w:rPr>
                <w:color w:val="000000"/>
                <w:sz w:val="22"/>
                <w:szCs w:val="22"/>
                <w:lang w:val="hr-HR"/>
              </w:rPr>
              <w:t>949</w:t>
            </w:r>
            <w:r w:rsidRPr="009A4B90">
              <w:rPr>
                <w:color w:val="000000"/>
                <w:sz w:val="22"/>
                <w:szCs w:val="22"/>
                <w:lang w:val="hr-HR"/>
              </w:rPr>
              <w:t>,</w:t>
            </w:r>
            <w:r w:rsidR="002C55A6">
              <w:rPr>
                <w:color w:val="000000"/>
                <w:sz w:val="22"/>
                <w:szCs w:val="22"/>
                <w:lang w:val="hr-HR"/>
              </w:rPr>
              <w:t>2</w:t>
            </w:r>
            <w:r w:rsidR="003F08C4" w:rsidRPr="009A4B90">
              <w:rPr>
                <w:color w:val="000000"/>
                <w:sz w:val="22"/>
                <w:szCs w:val="22"/>
                <w:lang w:val="hr-HR"/>
              </w:rPr>
              <w:t>1</w:t>
            </w:r>
          </w:p>
        </w:tc>
        <w:tc>
          <w:tcPr>
            <w:tcW w:w="1276" w:type="dxa"/>
            <w:tcBorders>
              <w:top w:val="nil"/>
              <w:left w:val="nil"/>
              <w:bottom w:val="single" w:sz="4" w:space="0" w:color="auto"/>
              <w:right w:val="single" w:sz="8" w:space="0" w:color="auto"/>
            </w:tcBorders>
            <w:shd w:val="clear" w:color="auto" w:fill="auto"/>
            <w:noWrap/>
            <w:vAlign w:val="center"/>
          </w:tcPr>
          <w:p w14:paraId="5BA3D778" w14:textId="6D27EAA4" w:rsidR="0084022E" w:rsidRPr="009A4B90" w:rsidRDefault="0062415F" w:rsidP="009A4B90">
            <w:pPr>
              <w:jc w:val="right"/>
              <w:rPr>
                <w:color w:val="000000"/>
                <w:sz w:val="22"/>
                <w:szCs w:val="22"/>
                <w:lang w:val="hr-HR"/>
              </w:rPr>
            </w:pPr>
            <w:r w:rsidRPr="009A4B90">
              <w:rPr>
                <w:color w:val="000000"/>
                <w:sz w:val="22"/>
                <w:szCs w:val="22"/>
                <w:lang w:val="hr-HR"/>
              </w:rPr>
              <w:t>10</w:t>
            </w:r>
            <w:r w:rsidR="002C55A6">
              <w:rPr>
                <w:color w:val="000000"/>
                <w:sz w:val="22"/>
                <w:szCs w:val="22"/>
                <w:lang w:val="hr-HR"/>
              </w:rPr>
              <w:t>9</w:t>
            </w:r>
            <w:r w:rsidR="006B4695" w:rsidRPr="009A4B90">
              <w:rPr>
                <w:color w:val="000000"/>
                <w:sz w:val="22"/>
                <w:szCs w:val="22"/>
                <w:lang w:val="hr-HR"/>
              </w:rPr>
              <w:t xml:space="preserve"> %</w:t>
            </w:r>
          </w:p>
        </w:tc>
      </w:tr>
      <w:tr w:rsidR="00C8795D" w:rsidRPr="009A4B90" w14:paraId="4B659CB8"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tcPr>
          <w:p w14:paraId="6B58C001" w14:textId="13A6A530" w:rsidR="00C8795D" w:rsidRPr="009A4B90" w:rsidRDefault="00C8795D">
            <w:pPr>
              <w:jc w:val="center"/>
              <w:rPr>
                <w:color w:val="000000"/>
                <w:sz w:val="22"/>
                <w:szCs w:val="22"/>
                <w:lang w:val="hr-HR"/>
              </w:rPr>
            </w:pPr>
            <w:r>
              <w:rPr>
                <w:color w:val="000000"/>
                <w:sz w:val="22"/>
                <w:szCs w:val="22"/>
                <w:lang w:val="hr-HR"/>
              </w:rPr>
              <w:t>3.</w:t>
            </w:r>
          </w:p>
        </w:tc>
        <w:tc>
          <w:tcPr>
            <w:tcW w:w="2099" w:type="dxa"/>
            <w:tcBorders>
              <w:top w:val="nil"/>
              <w:left w:val="single" w:sz="8" w:space="0" w:color="auto"/>
              <w:bottom w:val="single" w:sz="4" w:space="0" w:color="auto"/>
              <w:right w:val="single" w:sz="8" w:space="0" w:color="auto"/>
            </w:tcBorders>
            <w:shd w:val="clear" w:color="auto" w:fill="auto"/>
            <w:noWrap/>
            <w:vAlign w:val="center"/>
          </w:tcPr>
          <w:p w14:paraId="46CAD316" w14:textId="378BCC53" w:rsidR="00C8795D" w:rsidRPr="009A4B90" w:rsidRDefault="00C8795D">
            <w:pPr>
              <w:rPr>
                <w:color w:val="000000"/>
                <w:sz w:val="22"/>
                <w:szCs w:val="22"/>
                <w:lang w:val="hr-HR"/>
              </w:rPr>
            </w:pPr>
            <w:r>
              <w:rPr>
                <w:color w:val="000000"/>
                <w:sz w:val="22"/>
                <w:szCs w:val="22"/>
                <w:lang w:val="hr-HR"/>
              </w:rPr>
              <w:t>32-Vlastiti prihodi</w:t>
            </w:r>
          </w:p>
        </w:tc>
        <w:tc>
          <w:tcPr>
            <w:tcW w:w="1843" w:type="dxa"/>
            <w:tcBorders>
              <w:top w:val="nil"/>
              <w:left w:val="nil"/>
              <w:bottom w:val="single" w:sz="4" w:space="0" w:color="auto"/>
              <w:right w:val="single" w:sz="4" w:space="0" w:color="auto"/>
            </w:tcBorders>
            <w:shd w:val="clear" w:color="auto" w:fill="auto"/>
            <w:noWrap/>
            <w:vAlign w:val="center"/>
          </w:tcPr>
          <w:p w14:paraId="6E10BC0B" w14:textId="1044113B" w:rsidR="00C8795D" w:rsidRPr="009A4B90" w:rsidRDefault="00C8795D" w:rsidP="009A4B90">
            <w:pPr>
              <w:jc w:val="right"/>
              <w:rPr>
                <w:color w:val="000000"/>
                <w:sz w:val="22"/>
                <w:szCs w:val="22"/>
                <w:lang w:val="hr-HR"/>
              </w:rPr>
            </w:pPr>
            <w:r>
              <w:rPr>
                <w:color w:val="000000"/>
                <w:sz w:val="22"/>
                <w:szCs w:val="22"/>
                <w:lang w:val="hr-HR"/>
              </w:rPr>
              <w:t>0,00</w:t>
            </w:r>
          </w:p>
        </w:tc>
        <w:tc>
          <w:tcPr>
            <w:tcW w:w="1843" w:type="dxa"/>
            <w:tcBorders>
              <w:top w:val="nil"/>
              <w:left w:val="nil"/>
              <w:bottom w:val="single" w:sz="4" w:space="0" w:color="auto"/>
              <w:right w:val="nil"/>
            </w:tcBorders>
            <w:shd w:val="clear" w:color="auto" w:fill="auto"/>
            <w:noWrap/>
            <w:vAlign w:val="center"/>
          </w:tcPr>
          <w:p w14:paraId="130AF606" w14:textId="4385816D" w:rsidR="00C8795D" w:rsidRPr="009A4B90" w:rsidRDefault="00C8795D" w:rsidP="009A4B90">
            <w:pPr>
              <w:jc w:val="right"/>
              <w:rPr>
                <w:color w:val="000000"/>
                <w:sz w:val="22"/>
                <w:szCs w:val="22"/>
                <w:lang w:val="hr-HR"/>
              </w:rPr>
            </w:pPr>
            <w:r>
              <w:rPr>
                <w:color w:val="000000"/>
                <w:sz w:val="22"/>
                <w:szCs w:val="22"/>
                <w:lang w:val="hr-HR"/>
              </w:rPr>
              <w:t>30,00</w:t>
            </w:r>
          </w:p>
        </w:tc>
        <w:tc>
          <w:tcPr>
            <w:tcW w:w="1559" w:type="dxa"/>
            <w:tcBorders>
              <w:top w:val="nil"/>
              <w:left w:val="single" w:sz="8" w:space="0" w:color="auto"/>
              <w:bottom w:val="single" w:sz="4" w:space="0" w:color="auto"/>
              <w:right w:val="single" w:sz="8" w:space="0" w:color="auto"/>
            </w:tcBorders>
            <w:shd w:val="clear" w:color="auto" w:fill="auto"/>
            <w:noWrap/>
            <w:vAlign w:val="center"/>
          </w:tcPr>
          <w:p w14:paraId="268CF9C1" w14:textId="0942112D" w:rsidR="00C8795D" w:rsidRPr="009A4B90" w:rsidRDefault="00C8795D" w:rsidP="009A4B90">
            <w:pPr>
              <w:jc w:val="right"/>
              <w:rPr>
                <w:color w:val="000000"/>
                <w:sz w:val="22"/>
                <w:szCs w:val="22"/>
                <w:lang w:val="hr-HR"/>
              </w:rPr>
            </w:pPr>
            <w:r>
              <w:rPr>
                <w:color w:val="000000"/>
                <w:sz w:val="22"/>
                <w:szCs w:val="22"/>
                <w:lang w:val="hr-HR"/>
              </w:rPr>
              <w:t>0,00</w:t>
            </w:r>
          </w:p>
        </w:tc>
        <w:tc>
          <w:tcPr>
            <w:tcW w:w="1276" w:type="dxa"/>
            <w:tcBorders>
              <w:top w:val="nil"/>
              <w:left w:val="nil"/>
              <w:bottom w:val="single" w:sz="4" w:space="0" w:color="auto"/>
              <w:right w:val="single" w:sz="8" w:space="0" w:color="auto"/>
            </w:tcBorders>
            <w:shd w:val="clear" w:color="auto" w:fill="auto"/>
            <w:noWrap/>
            <w:vAlign w:val="center"/>
          </w:tcPr>
          <w:p w14:paraId="09563616" w14:textId="73C318A6" w:rsidR="00C8795D" w:rsidRPr="009A4B90" w:rsidRDefault="00C8795D" w:rsidP="009A4B90">
            <w:pPr>
              <w:jc w:val="right"/>
              <w:rPr>
                <w:color w:val="000000"/>
                <w:sz w:val="22"/>
                <w:szCs w:val="22"/>
                <w:lang w:val="hr-HR"/>
              </w:rPr>
            </w:pPr>
            <w:r>
              <w:rPr>
                <w:color w:val="000000"/>
                <w:sz w:val="22"/>
                <w:szCs w:val="22"/>
                <w:lang w:val="hr-HR"/>
              </w:rPr>
              <w:t>0</w:t>
            </w:r>
          </w:p>
        </w:tc>
      </w:tr>
      <w:tr w:rsidR="0084022E" w:rsidRPr="009A4B90" w14:paraId="5BC9C020"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5B36A508" w14:textId="77777777" w:rsidR="0084022E" w:rsidRPr="009A4B90" w:rsidRDefault="0084022E">
            <w:pPr>
              <w:jc w:val="center"/>
              <w:rPr>
                <w:color w:val="000000"/>
                <w:sz w:val="22"/>
                <w:szCs w:val="22"/>
                <w:lang w:val="hr-HR"/>
              </w:rPr>
            </w:pPr>
            <w:r w:rsidRPr="009A4B90">
              <w:rPr>
                <w:color w:val="000000"/>
                <w:sz w:val="22"/>
                <w:szCs w:val="22"/>
                <w:lang w:val="hr-HR"/>
              </w:rPr>
              <w:t>3.</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5A65F7E6" w14:textId="544B3875" w:rsidR="0084022E" w:rsidRPr="009A4B90" w:rsidRDefault="00C8795D">
            <w:pPr>
              <w:rPr>
                <w:color w:val="000000"/>
                <w:sz w:val="22"/>
                <w:szCs w:val="22"/>
                <w:lang w:val="hr-HR"/>
              </w:rPr>
            </w:pPr>
            <w:r>
              <w:rPr>
                <w:color w:val="000000"/>
                <w:sz w:val="22"/>
                <w:szCs w:val="22"/>
                <w:lang w:val="hr-HR"/>
              </w:rPr>
              <w:t>5</w:t>
            </w:r>
            <w:r w:rsidR="006B4695" w:rsidRPr="009A4B90">
              <w:rPr>
                <w:color w:val="000000"/>
                <w:sz w:val="22"/>
                <w:szCs w:val="22"/>
                <w:lang w:val="hr-HR"/>
              </w:rPr>
              <w:t xml:space="preserve">3-Pomoći –korisnici </w:t>
            </w:r>
          </w:p>
        </w:tc>
        <w:tc>
          <w:tcPr>
            <w:tcW w:w="1843" w:type="dxa"/>
            <w:tcBorders>
              <w:top w:val="nil"/>
              <w:left w:val="nil"/>
              <w:bottom w:val="single" w:sz="4" w:space="0" w:color="auto"/>
              <w:right w:val="single" w:sz="4" w:space="0" w:color="auto"/>
            </w:tcBorders>
            <w:shd w:val="clear" w:color="auto" w:fill="auto"/>
            <w:noWrap/>
            <w:vAlign w:val="center"/>
            <w:hideMark/>
          </w:tcPr>
          <w:p w14:paraId="14E42426" w14:textId="0F4B95D3" w:rsidR="0084022E" w:rsidRPr="009A4B90" w:rsidRDefault="002C55A6" w:rsidP="009A4B90">
            <w:pPr>
              <w:jc w:val="right"/>
              <w:rPr>
                <w:color w:val="000000"/>
                <w:sz w:val="22"/>
                <w:szCs w:val="22"/>
                <w:lang w:val="hr-HR"/>
              </w:rPr>
            </w:pPr>
            <w:r>
              <w:rPr>
                <w:color w:val="000000"/>
                <w:sz w:val="22"/>
                <w:szCs w:val="22"/>
                <w:lang w:val="hr-HR"/>
              </w:rPr>
              <w:t>1.055.722,55</w:t>
            </w:r>
          </w:p>
        </w:tc>
        <w:tc>
          <w:tcPr>
            <w:tcW w:w="1843" w:type="dxa"/>
            <w:tcBorders>
              <w:top w:val="nil"/>
              <w:left w:val="nil"/>
              <w:bottom w:val="single" w:sz="4" w:space="0" w:color="auto"/>
              <w:right w:val="nil"/>
            </w:tcBorders>
            <w:shd w:val="clear" w:color="auto" w:fill="auto"/>
            <w:noWrap/>
            <w:vAlign w:val="center"/>
            <w:hideMark/>
          </w:tcPr>
          <w:p w14:paraId="0F4B875F" w14:textId="32BDD376" w:rsidR="0084022E" w:rsidRPr="009A4B90" w:rsidRDefault="009609F1" w:rsidP="009A4B90">
            <w:pPr>
              <w:jc w:val="right"/>
              <w:rPr>
                <w:color w:val="000000"/>
                <w:sz w:val="22"/>
                <w:szCs w:val="22"/>
                <w:lang w:val="hr-HR"/>
              </w:rPr>
            </w:pPr>
            <w:r w:rsidRPr="009A4B90">
              <w:rPr>
                <w:color w:val="000000"/>
                <w:sz w:val="22"/>
                <w:szCs w:val="22"/>
                <w:lang w:val="hr-HR"/>
              </w:rPr>
              <w:t>2</w:t>
            </w:r>
            <w:r w:rsidR="006B4695" w:rsidRPr="009A4B90">
              <w:rPr>
                <w:color w:val="000000"/>
                <w:sz w:val="22"/>
                <w:szCs w:val="22"/>
                <w:lang w:val="hr-HR"/>
              </w:rPr>
              <w:t>.</w:t>
            </w:r>
            <w:r w:rsidR="002C55A6">
              <w:rPr>
                <w:color w:val="000000"/>
                <w:sz w:val="22"/>
                <w:szCs w:val="22"/>
                <w:lang w:val="hr-HR"/>
              </w:rPr>
              <w:t>850</w:t>
            </w:r>
            <w:r w:rsidR="006B4695" w:rsidRPr="009A4B90">
              <w:rPr>
                <w:color w:val="000000"/>
                <w:sz w:val="22"/>
                <w:szCs w:val="22"/>
                <w:lang w:val="hr-HR"/>
              </w:rPr>
              <w:t>.</w:t>
            </w:r>
            <w:r w:rsidR="002C55A6">
              <w:rPr>
                <w:color w:val="000000"/>
                <w:sz w:val="22"/>
                <w:szCs w:val="22"/>
                <w:lang w:val="hr-HR"/>
              </w:rPr>
              <w:t>37</w:t>
            </w:r>
            <w:r w:rsidR="006B4695" w:rsidRPr="009A4B90">
              <w:rPr>
                <w:color w:val="000000"/>
                <w:sz w:val="22"/>
                <w:szCs w:val="22"/>
                <w:lang w:val="hr-HR"/>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5F94F883" w14:textId="7F15ADFA" w:rsidR="0084022E" w:rsidRPr="009A4B90" w:rsidRDefault="003F08C4" w:rsidP="009A4B90">
            <w:pPr>
              <w:jc w:val="right"/>
              <w:rPr>
                <w:color w:val="000000"/>
                <w:sz w:val="22"/>
                <w:szCs w:val="22"/>
                <w:lang w:val="hr-HR"/>
              </w:rPr>
            </w:pPr>
            <w:r w:rsidRPr="009A4B90">
              <w:rPr>
                <w:color w:val="000000"/>
                <w:sz w:val="22"/>
                <w:szCs w:val="22"/>
                <w:lang w:val="hr-HR"/>
              </w:rPr>
              <w:t>1.</w:t>
            </w:r>
            <w:r w:rsidR="002C55A6">
              <w:rPr>
                <w:color w:val="000000"/>
                <w:sz w:val="22"/>
                <w:szCs w:val="22"/>
                <w:lang w:val="hr-HR"/>
              </w:rPr>
              <w:t>373</w:t>
            </w:r>
            <w:r w:rsidR="006B4695" w:rsidRPr="009A4B90">
              <w:rPr>
                <w:color w:val="000000"/>
                <w:sz w:val="22"/>
                <w:szCs w:val="22"/>
                <w:lang w:val="hr-HR"/>
              </w:rPr>
              <w:t>.</w:t>
            </w:r>
            <w:r w:rsidR="002C55A6">
              <w:rPr>
                <w:color w:val="000000"/>
                <w:sz w:val="22"/>
                <w:szCs w:val="22"/>
                <w:lang w:val="hr-HR"/>
              </w:rPr>
              <w:t>333</w:t>
            </w:r>
            <w:r w:rsidR="006B4695" w:rsidRPr="009A4B90">
              <w:rPr>
                <w:color w:val="000000"/>
                <w:sz w:val="22"/>
                <w:szCs w:val="22"/>
                <w:lang w:val="hr-HR"/>
              </w:rPr>
              <w:t>,</w:t>
            </w:r>
            <w:r w:rsidR="002C55A6">
              <w:rPr>
                <w:color w:val="000000"/>
                <w:sz w:val="22"/>
                <w:szCs w:val="22"/>
                <w:lang w:val="hr-HR"/>
              </w:rPr>
              <w:t>28</w:t>
            </w:r>
          </w:p>
        </w:tc>
        <w:tc>
          <w:tcPr>
            <w:tcW w:w="1276" w:type="dxa"/>
            <w:tcBorders>
              <w:top w:val="nil"/>
              <w:left w:val="nil"/>
              <w:bottom w:val="single" w:sz="4" w:space="0" w:color="auto"/>
              <w:right w:val="single" w:sz="8" w:space="0" w:color="auto"/>
            </w:tcBorders>
            <w:shd w:val="clear" w:color="auto" w:fill="auto"/>
            <w:noWrap/>
            <w:vAlign w:val="center"/>
          </w:tcPr>
          <w:p w14:paraId="710EB1D9" w14:textId="183BB974" w:rsidR="0084022E" w:rsidRPr="009A4B90" w:rsidRDefault="006B4695" w:rsidP="009A4B90">
            <w:pPr>
              <w:jc w:val="right"/>
              <w:rPr>
                <w:color w:val="000000"/>
                <w:sz w:val="22"/>
                <w:szCs w:val="22"/>
                <w:lang w:val="hr-HR"/>
              </w:rPr>
            </w:pPr>
            <w:r w:rsidRPr="009A4B90">
              <w:rPr>
                <w:color w:val="000000"/>
                <w:sz w:val="22"/>
                <w:szCs w:val="22"/>
                <w:lang w:val="hr-HR"/>
              </w:rPr>
              <w:t>1</w:t>
            </w:r>
            <w:r w:rsidR="002C55A6">
              <w:rPr>
                <w:color w:val="000000"/>
                <w:sz w:val="22"/>
                <w:szCs w:val="22"/>
                <w:lang w:val="hr-HR"/>
              </w:rPr>
              <w:t>30</w:t>
            </w:r>
            <w:r w:rsidRPr="009A4B90">
              <w:rPr>
                <w:color w:val="000000"/>
                <w:sz w:val="22"/>
                <w:szCs w:val="22"/>
                <w:lang w:val="hr-HR"/>
              </w:rPr>
              <w:t xml:space="preserve"> %</w:t>
            </w:r>
          </w:p>
        </w:tc>
      </w:tr>
      <w:tr w:rsidR="0084022E" w:rsidRPr="009A4B90" w14:paraId="0B2CBE87" w14:textId="77777777" w:rsidTr="009A4B90">
        <w:trPr>
          <w:trHeight w:val="289"/>
        </w:trPr>
        <w:tc>
          <w:tcPr>
            <w:tcW w:w="736" w:type="dxa"/>
            <w:tcBorders>
              <w:top w:val="nil"/>
              <w:left w:val="single" w:sz="8" w:space="0" w:color="auto"/>
              <w:bottom w:val="nil"/>
              <w:right w:val="nil"/>
            </w:tcBorders>
            <w:shd w:val="clear" w:color="auto" w:fill="auto"/>
            <w:noWrap/>
            <w:vAlign w:val="center"/>
            <w:hideMark/>
          </w:tcPr>
          <w:p w14:paraId="65DC73D9" w14:textId="77777777" w:rsidR="0084022E" w:rsidRPr="009A4B90" w:rsidRDefault="0084022E">
            <w:pPr>
              <w:jc w:val="center"/>
              <w:rPr>
                <w:color w:val="000000"/>
                <w:sz w:val="22"/>
                <w:szCs w:val="22"/>
                <w:lang w:val="hr-HR"/>
              </w:rPr>
            </w:pPr>
            <w:r w:rsidRPr="009A4B90">
              <w:rPr>
                <w:color w:val="000000"/>
                <w:sz w:val="22"/>
                <w:szCs w:val="22"/>
                <w:lang w:val="hr-HR"/>
              </w:rPr>
              <w:t>4.</w:t>
            </w:r>
          </w:p>
        </w:tc>
        <w:tc>
          <w:tcPr>
            <w:tcW w:w="2099" w:type="dxa"/>
            <w:tcBorders>
              <w:top w:val="nil"/>
              <w:left w:val="single" w:sz="8" w:space="0" w:color="auto"/>
              <w:bottom w:val="nil"/>
              <w:right w:val="single" w:sz="8" w:space="0" w:color="auto"/>
            </w:tcBorders>
            <w:shd w:val="clear" w:color="auto" w:fill="auto"/>
            <w:noWrap/>
            <w:vAlign w:val="center"/>
            <w:hideMark/>
          </w:tcPr>
          <w:p w14:paraId="55553F12" w14:textId="2E86D4B2" w:rsidR="006B4695" w:rsidRPr="009A4B90" w:rsidRDefault="009609F1" w:rsidP="006B4695">
            <w:pPr>
              <w:rPr>
                <w:color w:val="000000"/>
                <w:sz w:val="22"/>
                <w:szCs w:val="22"/>
                <w:lang w:val="hr-HR"/>
              </w:rPr>
            </w:pPr>
            <w:r w:rsidRPr="009A4B90">
              <w:rPr>
                <w:color w:val="000000"/>
                <w:sz w:val="22"/>
                <w:szCs w:val="22"/>
                <w:lang w:val="hr-HR"/>
              </w:rPr>
              <w:t>6</w:t>
            </w:r>
            <w:r w:rsidR="006B4695" w:rsidRPr="009A4B90">
              <w:rPr>
                <w:color w:val="000000"/>
                <w:sz w:val="22"/>
                <w:szCs w:val="22"/>
                <w:lang w:val="hr-HR"/>
              </w:rPr>
              <w:t xml:space="preserve">2- </w:t>
            </w:r>
            <w:r w:rsidRPr="009A4B90">
              <w:rPr>
                <w:color w:val="000000"/>
                <w:sz w:val="22"/>
                <w:szCs w:val="22"/>
                <w:lang w:val="hr-HR"/>
              </w:rPr>
              <w:t xml:space="preserve">Prihodi od </w:t>
            </w:r>
            <w:r w:rsidR="002C55A6">
              <w:rPr>
                <w:color w:val="000000"/>
                <w:sz w:val="22"/>
                <w:szCs w:val="22"/>
                <w:lang w:val="hr-HR"/>
              </w:rPr>
              <w:t>donacije</w:t>
            </w:r>
          </w:p>
        </w:tc>
        <w:tc>
          <w:tcPr>
            <w:tcW w:w="1843" w:type="dxa"/>
            <w:tcBorders>
              <w:top w:val="nil"/>
              <w:left w:val="nil"/>
              <w:bottom w:val="nil"/>
              <w:right w:val="single" w:sz="4" w:space="0" w:color="auto"/>
            </w:tcBorders>
            <w:shd w:val="clear" w:color="auto" w:fill="auto"/>
            <w:noWrap/>
            <w:vAlign w:val="center"/>
            <w:hideMark/>
          </w:tcPr>
          <w:p w14:paraId="42617D51" w14:textId="77777777" w:rsidR="0084022E" w:rsidRPr="009A4B90" w:rsidRDefault="006B4695" w:rsidP="009A4B90">
            <w:pPr>
              <w:jc w:val="right"/>
              <w:rPr>
                <w:color w:val="000000"/>
                <w:sz w:val="22"/>
                <w:szCs w:val="22"/>
                <w:lang w:val="hr-HR"/>
              </w:rPr>
            </w:pPr>
            <w:r w:rsidRPr="009A4B90">
              <w:rPr>
                <w:color w:val="000000"/>
                <w:sz w:val="22"/>
                <w:szCs w:val="22"/>
                <w:lang w:val="hr-HR"/>
              </w:rPr>
              <w:t>0,00</w:t>
            </w:r>
          </w:p>
        </w:tc>
        <w:tc>
          <w:tcPr>
            <w:tcW w:w="1843" w:type="dxa"/>
            <w:tcBorders>
              <w:top w:val="nil"/>
              <w:left w:val="nil"/>
              <w:bottom w:val="nil"/>
              <w:right w:val="nil"/>
            </w:tcBorders>
            <w:shd w:val="clear" w:color="auto" w:fill="auto"/>
            <w:noWrap/>
            <w:vAlign w:val="center"/>
            <w:hideMark/>
          </w:tcPr>
          <w:p w14:paraId="311155DB" w14:textId="69CD4C40" w:rsidR="0084022E" w:rsidRPr="009A4B90" w:rsidRDefault="009609F1" w:rsidP="009A4B90">
            <w:pPr>
              <w:jc w:val="right"/>
              <w:rPr>
                <w:color w:val="000000"/>
                <w:sz w:val="22"/>
                <w:szCs w:val="22"/>
                <w:lang w:val="hr-HR"/>
              </w:rPr>
            </w:pPr>
            <w:r w:rsidRPr="009A4B90">
              <w:rPr>
                <w:color w:val="000000"/>
                <w:sz w:val="22"/>
                <w:szCs w:val="22"/>
                <w:lang w:val="hr-HR"/>
              </w:rPr>
              <w:t xml:space="preserve">        0</w:t>
            </w:r>
            <w:r w:rsidR="00B628D4" w:rsidRPr="009A4B90">
              <w:rPr>
                <w:color w:val="000000"/>
                <w:sz w:val="22"/>
                <w:szCs w:val="22"/>
                <w:lang w:val="hr-HR"/>
              </w:rPr>
              <w:t>,00</w:t>
            </w:r>
          </w:p>
        </w:tc>
        <w:tc>
          <w:tcPr>
            <w:tcW w:w="1559" w:type="dxa"/>
            <w:tcBorders>
              <w:top w:val="nil"/>
              <w:left w:val="single" w:sz="8" w:space="0" w:color="auto"/>
              <w:bottom w:val="nil"/>
              <w:right w:val="single" w:sz="8" w:space="0" w:color="auto"/>
            </w:tcBorders>
            <w:shd w:val="clear" w:color="auto" w:fill="auto"/>
            <w:noWrap/>
            <w:vAlign w:val="center"/>
            <w:hideMark/>
          </w:tcPr>
          <w:p w14:paraId="01178CB4" w14:textId="1AA72A77" w:rsidR="0084022E" w:rsidRPr="009A4B90" w:rsidRDefault="002C55A6" w:rsidP="009A4B90">
            <w:pPr>
              <w:jc w:val="right"/>
              <w:rPr>
                <w:color w:val="000000"/>
                <w:sz w:val="22"/>
                <w:szCs w:val="22"/>
                <w:lang w:val="hr-HR"/>
              </w:rPr>
            </w:pPr>
            <w:r>
              <w:rPr>
                <w:color w:val="000000"/>
                <w:sz w:val="22"/>
                <w:szCs w:val="22"/>
                <w:lang w:val="hr-HR"/>
              </w:rPr>
              <w:t>1.500</w:t>
            </w:r>
            <w:r w:rsidR="006B4695" w:rsidRPr="009A4B90">
              <w:rPr>
                <w:color w:val="000000"/>
                <w:sz w:val="22"/>
                <w:szCs w:val="22"/>
                <w:lang w:val="hr-HR"/>
              </w:rPr>
              <w:t>,00</w:t>
            </w:r>
          </w:p>
        </w:tc>
        <w:tc>
          <w:tcPr>
            <w:tcW w:w="1276" w:type="dxa"/>
            <w:tcBorders>
              <w:top w:val="nil"/>
              <w:left w:val="nil"/>
              <w:bottom w:val="nil"/>
              <w:right w:val="single" w:sz="8" w:space="0" w:color="auto"/>
            </w:tcBorders>
            <w:shd w:val="clear" w:color="auto" w:fill="auto"/>
            <w:noWrap/>
            <w:vAlign w:val="center"/>
          </w:tcPr>
          <w:p w14:paraId="7F7D7635" w14:textId="77777777" w:rsidR="0084022E" w:rsidRPr="009A4B90" w:rsidRDefault="006B4695" w:rsidP="009A4B90">
            <w:pPr>
              <w:jc w:val="right"/>
              <w:rPr>
                <w:color w:val="000000"/>
                <w:sz w:val="22"/>
                <w:szCs w:val="22"/>
                <w:lang w:val="hr-HR"/>
              </w:rPr>
            </w:pPr>
            <w:r w:rsidRPr="009A4B90">
              <w:rPr>
                <w:color w:val="000000"/>
                <w:sz w:val="22"/>
                <w:szCs w:val="22"/>
                <w:lang w:val="hr-HR"/>
              </w:rPr>
              <w:t>0</w:t>
            </w:r>
          </w:p>
        </w:tc>
      </w:tr>
      <w:tr w:rsidR="0084022E" w:rsidRPr="009A4B90" w14:paraId="5D243A43" w14:textId="77777777" w:rsidTr="009A4B90">
        <w:trPr>
          <w:trHeight w:val="289"/>
        </w:trPr>
        <w:tc>
          <w:tcPr>
            <w:tcW w:w="28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E95F604" w14:textId="77777777" w:rsidR="0084022E" w:rsidRPr="009A4B90" w:rsidRDefault="0084022E" w:rsidP="0085753E">
            <w:pPr>
              <w:shd w:val="clear" w:color="auto" w:fill="BFBFBF"/>
              <w:jc w:val="center"/>
              <w:rPr>
                <w:color w:val="000000"/>
                <w:sz w:val="20"/>
                <w:szCs w:val="20"/>
                <w:lang w:val="hr-HR"/>
              </w:rPr>
            </w:pPr>
            <w:r w:rsidRPr="009A4B90">
              <w:rPr>
                <w:color w:val="000000"/>
                <w:sz w:val="20"/>
                <w:szCs w:val="20"/>
                <w:lang w:val="hr-HR"/>
              </w:rPr>
              <w:t>UKUPNO</w:t>
            </w:r>
          </w:p>
        </w:tc>
        <w:tc>
          <w:tcPr>
            <w:tcW w:w="1843" w:type="dxa"/>
            <w:tcBorders>
              <w:top w:val="single" w:sz="8" w:space="0" w:color="auto"/>
              <w:left w:val="nil"/>
              <w:bottom w:val="single" w:sz="8" w:space="0" w:color="auto"/>
              <w:right w:val="single" w:sz="4" w:space="0" w:color="auto"/>
            </w:tcBorders>
            <w:shd w:val="clear" w:color="000000" w:fill="D9D9D9"/>
            <w:noWrap/>
            <w:vAlign w:val="center"/>
            <w:hideMark/>
          </w:tcPr>
          <w:p w14:paraId="6A0BE166" w14:textId="7E3BE5C9" w:rsidR="0084022E" w:rsidRPr="009A4B90" w:rsidRDefault="00FD634E" w:rsidP="009A4B90">
            <w:pPr>
              <w:shd w:val="clear" w:color="auto" w:fill="BFBFBF"/>
              <w:jc w:val="right"/>
              <w:rPr>
                <w:b/>
                <w:bCs/>
                <w:color w:val="000000"/>
                <w:sz w:val="22"/>
                <w:szCs w:val="22"/>
                <w:lang w:val="hr-HR"/>
              </w:rPr>
            </w:pPr>
            <w:r w:rsidRPr="009A4B90">
              <w:rPr>
                <w:b/>
                <w:bCs/>
                <w:color w:val="000000"/>
                <w:sz w:val="22"/>
                <w:szCs w:val="22"/>
                <w:lang w:val="hr-HR"/>
              </w:rPr>
              <w:t>1</w:t>
            </w:r>
            <w:r w:rsidR="0062415F" w:rsidRPr="009A4B90">
              <w:rPr>
                <w:b/>
                <w:bCs/>
                <w:color w:val="000000"/>
                <w:sz w:val="22"/>
                <w:szCs w:val="22"/>
                <w:lang w:val="hr-HR"/>
              </w:rPr>
              <w:t>.</w:t>
            </w:r>
            <w:r w:rsidR="002C55A6">
              <w:rPr>
                <w:b/>
                <w:bCs/>
                <w:color w:val="000000"/>
                <w:sz w:val="22"/>
                <w:szCs w:val="22"/>
                <w:lang w:val="hr-HR"/>
              </w:rPr>
              <w:t>877</w:t>
            </w:r>
            <w:r w:rsidR="0062415F" w:rsidRPr="009A4B90">
              <w:rPr>
                <w:b/>
                <w:bCs/>
                <w:color w:val="000000"/>
                <w:sz w:val="22"/>
                <w:szCs w:val="22"/>
                <w:lang w:val="hr-HR"/>
              </w:rPr>
              <w:t>.</w:t>
            </w:r>
            <w:r w:rsidR="002C55A6">
              <w:rPr>
                <w:b/>
                <w:bCs/>
                <w:color w:val="000000"/>
                <w:sz w:val="22"/>
                <w:szCs w:val="22"/>
                <w:lang w:val="hr-HR"/>
              </w:rPr>
              <w:t>941</w:t>
            </w:r>
            <w:r w:rsidRPr="009A4B90">
              <w:rPr>
                <w:b/>
                <w:bCs/>
                <w:color w:val="000000"/>
                <w:sz w:val="22"/>
                <w:szCs w:val="22"/>
                <w:lang w:val="hr-HR"/>
              </w:rPr>
              <w:t>,</w:t>
            </w:r>
            <w:r w:rsidR="002C55A6">
              <w:rPr>
                <w:b/>
                <w:bCs/>
                <w:color w:val="000000"/>
                <w:sz w:val="22"/>
                <w:szCs w:val="22"/>
                <w:lang w:val="hr-HR"/>
              </w:rPr>
              <w:t>66</w:t>
            </w:r>
          </w:p>
        </w:tc>
        <w:tc>
          <w:tcPr>
            <w:tcW w:w="1843" w:type="dxa"/>
            <w:tcBorders>
              <w:top w:val="single" w:sz="8" w:space="0" w:color="auto"/>
              <w:left w:val="nil"/>
              <w:bottom w:val="single" w:sz="8" w:space="0" w:color="auto"/>
              <w:right w:val="nil"/>
            </w:tcBorders>
            <w:shd w:val="clear" w:color="000000" w:fill="D9D9D9"/>
            <w:noWrap/>
            <w:vAlign w:val="center"/>
            <w:hideMark/>
          </w:tcPr>
          <w:p w14:paraId="64D3001C" w14:textId="6B0DF834" w:rsidR="0084022E" w:rsidRPr="009A4B90" w:rsidRDefault="002C55A6" w:rsidP="009A4B90">
            <w:pPr>
              <w:shd w:val="clear" w:color="auto" w:fill="BFBFBF"/>
              <w:jc w:val="right"/>
              <w:rPr>
                <w:b/>
                <w:bCs/>
                <w:color w:val="000000"/>
                <w:sz w:val="22"/>
                <w:szCs w:val="22"/>
                <w:lang w:val="hr-HR"/>
              </w:rPr>
            </w:pPr>
            <w:r>
              <w:rPr>
                <w:b/>
                <w:bCs/>
                <w:color w:val="000000"/>
                <w:sz w:val="22"/>
                <w:szCs w:val="22"/>
                <w:lang w:val="hr-HR"/>
              </w:rPr>
              <w:t>5</w:t>
            </w:r>
            <w:r w:rsidR="00FD634E" w:rsidRPr="009A4B90">
              <w:rPr>
                <w:b/>
                <w:bCs/>
                <w:color w:val="000000"/>
                <w:sz w:val="22"/>
                <w:szCs w:val="22"/>
                <w:lang w:val="hr-HR"/>
              </w:rPr>
              <w:t>.</w:t>
            </w:r>
            <w:r>
              <w:rPr>
                <w:b/>
                <w:bCs/>
                <w:color w:val="000000"/>
                <w:sz w:val="22"/>
                <w:szCs w:val="22"/>
                <w:lang w:val="hr-HR"/>
              </w:rPr>
              <w:t>078</w:t>
            </w:r>
            <w:r w:rsidR="009609F1" w:rsidRPr="009A4B90">
              <w:rPr>
                <w:b/>
                <w:bCs/>
                <w:color w:val="000000"/>
                <w:sz w:val="22"/>
                <w:szCs w:val="22"/>
                <w:lang w:val="hr-HR"/>
              </w:rPr>
              <w:t>.</w:t>
            </w:r>
            <w:r>
              <w:rPr>
                <w:b/>
                <w:bCs/>
                <w:color w:val="000000"/>
                <w:sz w:val="22"/>
                <w:szCs w:val="22"/>
                <w:lang w:val="hr-HR"/>
              </w:rPr>
              <w:t>00</w:t>
            </w:r>
            <w:r w:rsidR="00FD634E" w:rsidRPr="009A4B90">
              <w:rPr>
                <w:b/>
                <w:bCs/>
                <w:color w:val="000000"/>
                <w:sz w:val="22"/>
                <w:szCs w:val="22"/>
                <w:lang w:val="hr-HR"/>
              </w:rPr>
              <w:t>0,00</w:t>
            </w:r>
          </w:p>
        </w:tc>
        <w:tc>
          <w:tcPr>
            <w:tcW w:w="155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DB82E42" w14:textId="37302AF0" w:rsidR="0084022E" w:rsidRPr="009A4B90" w:rsidRDefault="002C55A6" w:rsidP="009A4B90">
            <w:pPr>
              <w:shd w:val="clear" w:color="auto" w:fill="BFBFBF"/>
              <w:jc w:val="right"/>
              <w:rPr>
                <w:b/>
                <w:bCs/>
                <w:color w:val="000000"/>
                <w:sz w:val="22"/>
                <w:szCs w:val="22"/>
                <w:lang w:val="hr-HR"/>
              </w:rPr>
            </w:pPr>
            <w:r>
              <w:rPr>
                <w:b/>
                <w:bCs/>
                <w:color w:val="000000"/>
                <w:sz w:val="22"/>
                <w:szCs w:val="22"/>
                <w:lang w:val="hr-HR"/>
              </w:rPr>
              <w:t>2</w:t>
            </w:r>
            <w:r w:rsidR="00FD634E" w:rsidRPr="009A4B90">
              <w:rPr>
                <w:b/>
                <w:bCs/>
                <w:color w:val="000000"/>
                <w:sz w:val="22"/>
                <w:szCs w:val="22"/>
                <w:lang w:val="hr-HR"/>
              </w:rPr>
              <w:t>.</w:t>
            </w:r>
            <w:r>
              <w:rPr>
                <w:b/>
                <w:bCs/>
                <w:color w:val="000000"/>
                <w:sz w:val="22"/>
                <w:szCs w:val="22"/>
                <w:lang w:val="hr-HR"/>
              </w:rPr>
              <w:t>423</w:t>
            </w:r>
            <w:r w:rsidR="00FD634E" w:rsidRPr="009A4B90">
              <w:rPr>
                <w:b/>
                <w:bCs/>
                <w:color w:val="000000"/>
                <w:sz w:val="22"/>
                <w:szCs w:val="22"/>
                <w:lang w:val="hr-HR"/>
              </w:rPr>
              <w:t>.</w:t>
            </w:r>
            <w:r>
              <w:rPr>
                <w:b/>
                <w:bCs/>
                <w:color w:val="000000"/>
                <w:sz w:val="22"/>
                <w:szCs w:val="22"/>
                <w:lang w:val="hr-HR"/>
              </w:rPr>
              <w:t>023</w:t>
            </w:r>
            <w:r w:rsidR="00FD634E" w:rsidRPr="009A4B90">
              <w:rPr>
                <w:b/>
                <w:bCs/>
                <w:color w:val="000000"/>
                <w:sz w:val="22"/>
                <w:szCs w:val="22"/>
                <w:lang w:val="hr-HR"/>
              </w:rPr>
              <w:t>,</w:t>
            </w:r>
            <w:r>
              <w:rPr>
                <w:b/>
                <w:bCs/>
                <w:color w:val="000000"/>
                <w:sz w:val="22"/>
                <w:szCs w:val="22"/>
                <w:lang w:val="hr-HR"/>
              </w:rPr>
              <w:t>59</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6DD345A8" w14:textId="50B86317" w:rsidR="0084022E" w:rsidRPr="009A4B90" w:rsidRDefault="00FD634E" w:rsidP="009A4B90">
            <w:pPr>
              <w:shd w:val="clear" w:color="auto" w:fill="BFBFBF"/>
              <w:jc w:val="right"/>
              <w:rPr>
                <w:b/>
                <w:bCs/>
                <w:color w:val="000000"/>
                <w:sz w:val="22"/>
                <w:szCs w:val="22"/>
                <w:lang w:val="hr-HR"/>
              </w:rPr>
            </w:pPr>
            <w:r w:rsidRPr="009A4B90">
              <w:rPr>
                <w:b/>
                <w:bCs/>
                <w:color w:val="000000"/>
                <w:sz w:val="22"/>
                <w:szCs w:val="22"/>
                <w:lang w:val="hr-HR"/>
              </w:rPr>
              <w:t>1</w:t>
            </w:r>
            <w:r w:rsidR="002C55A6">
              <w:rPr>
                <w:b/>
                <w:bCs/>
                <w:color w:val="000000"/>
                <w:sz w:val="22"/>
                <w:szCs w:val="22"/>
                <w:lang w:val="hr-HR"/>
              </w:rPr>
              <w:t>29</w:t>
            </w:r>
            <w:r w:rsidRPr="009A4B90">
              <w:rPr>
                <w:b/>
                <w:bCs/>
                <w:color w:val="000000"/>
                <w:sz w:val="22"/>
                <w:szCs w:val="22"/>
                <w:lang w:val="hr-HR"/>
              </w:rPr>
              <w:t xml:space="preserve"> %</w:t>
            </w:r>
          </w:p>
        </w:tc>
      </w:tr>
    </w:tbl>
    <w:p w14:paraId="51DBFC79" w14:textId="77777777" w:rsidR="00D64459" w:rsidRPr="004B308C" w:rsidRDefault="00D64459" w:rsidP="004B308C">
      <w:pPr>
        <w:pStyle w:val="Zaglavlje"/>
        <w:tabs>
          <w:tab w:val="clear" w:pos="4536"/>
        </w:tabs>
        <w:ind w:left="720"/>
        <w:jc w:val="both"/>
        <w:rPr>
          <w:b/>
          <w:sz w:val="22"/>
          <w:szCs w:val="22"/>
          <w:lang w:val="hr-HR"/>
        </w:rPr>
      </w:pPr>
    </w:p>
    <w:p w14:paraId="7F718984" w14:textId="70F1B185" w:rsidR="00AE39D0" w:rsidRDefault="00D8221C" w:rsidP="000574C5">
      <w:pPr>
        <w:pStyle w:val="Zaglavlje"/>
        <w:jc w:val="both"/>
        <w:rPr>
          <w:sz w:val="22"/>
          <w:szCs w:val="22"/>
          <w:lang w:val="hr-HR"/>
        </w:rPr>
      </w:pPr>
      <w:r w:rsidRPr="00D8221C">
        <w:rPr>
          <w:sz w:val="22"/>
          <w:szCs w:val="22"/>
          <w:lang w:val="hr-HR"/>
        </w:rPr>
        <w:lastRenderedPageBreak/>
        <w:t xml:space="preserve"> </w:t>
      </w:r>
      <w:r w:rsidR="008B35FF">
        <w:rPr>
          <w:noProof/>
        </w:rPr>
        <w:drawing>
          <wp:inline distT="0" distB="0" distL="0" distR="0" wp14:anchorId="03341E73" wp14:editId="3B042F11">
            <wp:extent cx="5939790" cy="2680970"/>
            <wp:effectExtent l="0" t="0" r="3810" b="5080"/>
            <wp:docPr id="1731362633" name="Grafikon 1">
              <a:extLst xmlns:a="http://schemas.openxmlformats.org/drawingml/2006/main">
                <a:ext uri="{FF2B5EF4-FFF2-40B4-BE49-F238E27FC236}">
                  <a16:creationId xmlns:a16="http://schemas.microsoft.com/office/drawing/2014/main" id="{B621CAD2-A064-6A3F-3CAB-974FBCC83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3F7931" w14:textId="77777777" w:rsidR="009A4B90" w:rsidRDefault="009A4B90" w:rsidP="000574C5">
      <w:pPr>
        <w:pStyle w:val="Zaglavlje"/>
        <w:jc w:val="both"/>
        <w:rPr>
          <w:b/>
          <w:sz w:val="22"/>
          <w:szCs w:val="22"/>
          <w:lang w:val="hr-HR"/>
        </w:rPr>
      </w:pPr>
    </w:p>
    <w:p w14:paraId="5D84B7E7" w14:textId="77777777" w:rsidR="009A4B90" w:rsidRDefault="009A4B90" w:rsidP="000574C5">
      <w:pPr>
        <w:pStyle w:val="Zaglavlje"/>
        <w:jc w:val="both"/>
        <w:rPr>
          <w:sz w:val="22"/>
          <w:szCs w:val="22"/>
          <w:lang w:val="hr-HR"/>
        </w:rPr>
      </w:pPr>
    </w:p>
    <w:p w14:paraId="5654CFEA" w14:textId="77777777" w:rsidR="004B5015" w:rsidRPr="004B308C" w:rsidRDefault="004B308C" w:rsidP="004B308C">
      <w:pPr>
        <w:jc w:val="both"/>
        <w:rPr>
          <w:b/>
          <w:lang w:val="hr-HR"/>
        </w:rPr>
      </w:pPr>
      <w:r w:rsidRPr="004B308C">
        <w:rPr>
          <w:b/>
          <w:lang w:val="hr-HR"/>
        </w:rPr>
        <w:t>2.</w:t>
      </w:r>
      <w:r w:rsidR="00D11309">
        <w:rPr>
          <w:b/>
          <w:lang w:val="hr-HR"/>
        </w:rPr>
        <w:t xml:space="preserve"> </w:t>
      </w:r>
      <w:r w:rsidRPr="004B308C">
        <w:rPr>
          <w:b/>
          <w:lang w:val="hr-HR"/>
        </w:rPr>
        <w:t xml:space="preserve">POSEBNI DIO </w:t>
      </w:r>
      <w:r w:rsidR="00D8327B" w:rsidRPr="004B308C">
        <w:rPr>
          <w:b/>
          <w:lang w:val="hr-HR"/>
        </w:rPr>
        <w:t xml:space="preserve"> </w:t>
      </w:r>
    </w:p>
    <w:p w14:paraId="0EB92618" w14:textId="77777777" w:rsidR="00BD73A6" w:rsidRDefault="00BD73A6" w:rsidP="004B308C">
      <w:pPr>
        <w:jc w:val="both"/>
        <w:rPr>
          <w:lang w:val="hr-HR"/>
        </w:rPr>
      </w:pPr>
    </w:p>
    <w:p w14:paraId="6FF71147" w14:textId="2FDE15CD" w:rsidR="00512A9C" w:rsidRPr="00AE39D0" w:rsidRDefault="00512A9C" w:rsidP="00512A9C">
      <w:pPr>
        <w:spacing w:line="276" w:lineRule="auto"/>
        <w:jc w:val="both"/>
        <w:rPr>
          <w:sz w:val="22"/>
          <w:szCs w:val="22"/>
          <w:lang w:val="hr-HR"/>
        </w:rPr>
      </w:pPr>
      <w:r w:rsidRPr="00AE39D0">
        <w:rPr>
          <w:sz w:val="22"/>
          <w:szCs w:val="22"/>
          <w:lang w:val="hr-HR"/>
        </w:rPr>
        <w:t xml:space="preserve">U Posebnom dijelu proračuna, koji je priložen polugodišnjem izvještaju i njegov je sastavni dio, rashodi i izdaci iskazani </w:t>
      </w:r>
      <w:r w:rsidR="00AC31DA">
        <w:rPr>
          <w:sz w:val="22"/>
          <w:szCs w:val="22"/>
          <w:lang w:val="hr-HR"/>
        </w:rPr>
        <w:t xml:space="preserve">su </w:t>
      </w:r>
      <w:r w:rsidRPr="00AE39D0">
        <w:rPr>
          <w:sz w:val="22"/>
          <w:szCs w:val="22"/>
          <w:lang w:val="hr-HR"/>
        </w:rPr>
        <w:t xml:space="preserve">po  programskoj klasifikaciji </w:t>
      </w:r>
      <w:r w:rsidR="00B5682D">
        <w:rPr>
          <w:sz w:val="22"/>
          <w:szCs w:val="22"/>
          <w:lang w:val="hr-HR"/>
        </w:rPr>
        <w:t xml:space="preserve"> i sadrže rashode i izdatke financijskog plana po izvorima financiranja i</w:t>
      </w:r>
      <w:r w:rsidRPr="00AE39D0">
        <w:rPr>
          <w:sz w:val="22"/>
          <w:szCs w:val="22"/>
          <w:lang w:val="hr-HR"/>
        </w:rPr>
        <w:t xml:space="preserve"> ekonomsk</w:t>
      </w:r>
      <w:r w:rsidR="00B5682D">
        <w:rPr>
          <w:sz w:val="22"/>
          <w:szCs w:val="22"/>
          <w:lang w:val="hr-HR"/>
        </w:rPr>
        <w:t>oj</w:t>
      </w:r>
      <w:r w:rsidRPr="00AE39D0">
        <w:rPr>
          <w:sz w:val="22"/>
          <w:szCs w:val="22"/>
          <w:lang w:val="hr-HR"/>
        </w:rPr>
        <w:t xml:space="preserve"> klasifikacij</w:t>
      </w:r>
      <w:r w:rsidR="00B5682D">
        <w:rPr>
          <w:sz w:val="22"/>
          <w:szCs w:val="22"/>
          <w:lang w:val="hr-HR"/>
        </w:rPr>
        <w:t>i raspoređeni u programe koji se sastoje od aktivnosti i projek</w:t>
      </w:r>
      <w:r w:rsidR="00576DA8">
        <w:rPr>
          <w:sz w:val="22"/>
          <w:szCs w:val="22"/>
          <w:lang w:val="hr-HR"/>
        </w:rPr>
        <w:t>ata</w:t>
      </w:r>
      <w:r w:rsidR="00B5682D">
        <w:rPr>
          <w:sz w:val="22"/>
          <w:szCs w:val="22"/>
          <w:lang w:val="hr-HR"/>
        </w:rPr>
        <w:t>.</w:t>
      </w:r>
      <w:r w:rsidR="009C6951">
        <w:rPr>
          <w:sz w:val="22"/>
          <w:szCs w:val="22"/>
          <w:lang w:val="hr-HR"/>
        </w:rPr>
        <w:t xml:space="preserve"> </w:t>
      </w:r>
      <w:r w:rsidR="00B5682D">
        <w:rPr>
          <w:sz w:val="22"/>
          <w:szCs w:val="22"/>
          <w:lang w:val="hr-HR"/>
        </w:rPr>
        <w:t xml:space="preserve">U odnosu na izvještaje iz općeg dijela polugodišnjeg izvještaja o izvršenju financijskog plana za 2025. godinu u  posebnom dijelu ne iskazuju se podaci za izvještajno razdoblje prethodne godine već se </w:t>
      </w:r>
      <w:r w:rsidR="009C6951">
        <w:rPr>
          <w:sz w:val="22"/>
          <w:szCs w:val="22"/>
          <w:lang w:val="hr-HR"/>
        </w:rPr>
        <w:t>uspoređuj</w:t>
      </w:r>
      <w:r w:rsidR="00B5682D">
        <w:rPr>
          <w:sz w:val="22"/>
          <w:szCs w:val="22"/>
          <w:lang w:val="hr-HR"/>
        </w:rPr>
        <w:t xml:space="preserve">u podaci </w:t>
      </w:r>
      <w:r w:rsidR="009C6951">
        <w:rPr>
          <w:sz w:val="22"/>
          <w:szCs w:val="22"/>
          <w:lang w:val="hr-HR"/>
        </w:rPr>
        <w:t xml:space="preserve"> </w:t>
      </w:r>
      <w:r w:rsidR="00B5682D">
        <w:rPr>
          <w:sz w:val="22"/>
          <w:szCs w:val="22"/>
          <w:lang w:val="hr-HR"/>
        </w:rPr>
        <w:t>izvornog plana</w:t>
      </w:r>
      <w:r w:rsidR="009C6951">
        <w:rPr>
          <w:sz w:val="22"/>
          <w:szCs w:val="22"/>
          <w:lang w:val="hr-HR"/>
        </w:rPr>
        <w:t xml:space="preserve"> za 202</w:t>
      </w:r>
      <w:r w:rsidR="00B5682D">
        <w:rPr>
          <w:sz w:val="22"/>
          <w:szCs w:val="22"/>
          <w:lang w:val="hr-HR"/>
        </w:rPr>
        <w:t>5</w:t>
      </w:r>
      <w:r w:rsidR="009C6951">
        <w:rPr>
          <w:sz w:val="22"/>
          <w:szCs w:val="22"/>
          <w:lang w:val="hr-HR"/>
        </w:rPr>
        <w:t>. godinu</w:t>
      </w:r>
      <w:r w:rsidR="00B5682D">
        <w:rPr>
          <w:sz w:val="22"/>
          <w:szCs w:val="22"/>
          <w:lang w:val="hr-HR"/>
        </w:rPr>
        <w:t xml:space="preserve"> i</w:t>
      </w:r>
      <w:r w:rsidR="00B5682D" w:rsidRPr="00B5682D">
        <w:rPr>
          <w:sz w:val="22"/>
          <w:szCs w:val="22"/>
          <w:lang w:val="hr-HR"/>
        </w:rPr>
        <w:t xml:space="preserve"> </w:t>
      </w:r>
      <w:r w:rsidR="00B5682D">
        <w:rPr>
          <w:sz w:val="22"/>
          <w:szCs w:val="22"/>
          <w:lang w:val="hr-HR"/>
        </w:rPr>
        <w:t>izvršenje financijskog plana za razdoblje siječanj -lipanj 2025. godine.</w:t>
      </w:r>
    </w:p>
    <w:p w14:paraId="745EB139" w14:textId="77777777" w:rsidR="00512A9C" w:rsidRPr="00AE39D0" w:rsidRDefault="00512A9C" w:rsidP="00512A9C">
      <w:pPr>
        <w:spacing w:line="276" w:lineRule="auto"/>
        <w:jc w:val="both"/>
        <w:rPr>
          <w:sz w:val="22"/>
          <w:szCs w:val="22"/>
          <w:lang w:val="hr-HR"/>
        </w:rPr>
      </w:pPr>
    </w:p>
    <w:p w14:paraId="6FC1CF37" w14:textId="77777777" w:rsidR="002947AD" w:rsidRPr="00672DF6" w:rsidRDefault="002947AD" w:rsidP="002947AD">
      <w:pPr>
        <w:jc w:val="both"/>
        <w:rPr>
          <w:rFonts w:ascii="Calibri" w:hAnsi="Calibri"/>
          <w:b/>
          <w:sz w:val="20"/>
          <w:szCs w:val="20"/>
        </w:rPr>
      </w:pPr>
      <w:r>
        <w:rPr>
          <w:b/>
          <w:sz w:val="22"/>
          <w:szCs w:val="22"/>
          <w:lang w:val="hr-HR"/>
        </w:rPr>
        <w:t>Rashodi i izdaci po programskoj klasifikaciji</w:t>
      </w:r>
    </w:p>
    <w:p w14:paraId="79376664" w14:textId="503DEB45" w:rsidR="002947AD" w:rsidRDefault="002947AD" w:rsidP="00622731">
      <w:pPr>
        <w:tabs>
          <w:tab w:val="left" w:pos="2925"/>
        </w:tabs>
        <w:jc w:val="both"/>
        <w:rPr>
          <w:sz w:val="22"/>
          <w:szCs w:val="22"/>
          <w:lang w:val="hr-HR"/>
        </w:rPr>
      </w:pPr>
      <w:r>
        <w:rPr>
          <w:sz w:val="22"/>
          <w:szCs w:val="22"/>
          <w:lang w:val="hr-HR"/>
        </w:rPr>
        <w:t xml:space="preserve">Prema programskoj klasifikaciji rashodi iznose </w:t>
      </w:r>
      <w:r w:rsidR="005F22AD">
        <w:rPr>
          <w:sz w:val="22"/>
          <w:szCs w:val="22"/>
          <w:lang w:val="hr-HR"/>
        </w:rPr>
        <w:t>2</w:t>
      </w:r>
      <w:r>
        <w:rPr>
          <w:sz w:val="22"/>
          <w:szCs w:val="22"/>
          <w:lang w:val="hr-HR"/>
        </w:rPr>
        <w:t>.</w:t>
      </w:r>
      <w:r w:rsidR="005F22AD">
        <w:rPr>
          <w:sz w:val="22"/>
          <w:szCs w:val="22"/>
          <w:lang w:val="hr-HR"/>
        </w:rPr>
        <w:t>423.023,59</w:t>
      </w:r>
      <w:r>
        <w:rPr>
          <w:sz w:val="22"/>
          <w:szCs w:val="22"/>
          <w:lang w:val="hr-HR"/>
        </w:rPr>
        <w:t xml:space="preserve"> </w:t>
      </w:r>
      <w:r w:rsidR="00AC31DA">
        <w:rPr>
          <w:sz w:val="22"/>
          <w:szCs w:val="22"/>
          <w:lang w:val="hr-HR"/>
        </w:rPr>
        <w:t>€ ostvarenje iznosi 4</w:t>
      </w:r>
      <w:r w:rsidR="005F22AD">
        <w:rPr>
          <w:sz w:val="22"/>
          <w:szCs w:val="22"/>
          <w:lang w:val="hr-HR"/>
        </w:rPr>
        <w:t>8</w:t>
      </w:r>
      <w:r w:rsidR="00AC31DA">
        <w:rPr>
          <w:sz w:val="22"/>
          <w:szCs w:val="22"/>
          <w:lang w:val="hr-HR"/>
        </w:rPr>
        <w:t xml:space="preserve">% od planiranih rashoda koji iznose </w:t>
      </w:r>
      <w:r w:rsidR="005F22AD">
        <w:rPr>
          <w:sz w:val="22"/>
          <w:szCs w:val="22"/>
          <w:lang w:val="hr-HR"/>
        </w:rPr>
        <w:t>5</w:t>
      </w:r>
      <w:r w:rsidR="00AC31DA">
        <w:rPr>
          <w:sz w:val="22"/>
          <w:szCs w:val="22"/>
          <w:lang w:val="hr-HR"/>
        </w:rPr>
        <w:t>.</w:t>
      </w:r>
      <w:r w:rsidR="005F22AD">
        <w:rPr>
          <w:sz w:val="22"/>
          <w:szCs w:val="22"/>
          <w:lang w:val="hr-HR"/>
        </w:rPr>
        <w:t>078</w:t>
      </w:r>
      <w:r w:rsidR="00AC31DA">
        <w:rPr>
          <w:sz w:val="22"/>
          <w:szCs w:val="22"/>
          <w:lang w:val="hr-HR"/>
        </w:rPr>
        <w:t>.</w:t>
      </w:r>
      <w:r w:rsidR="005F22AD">
        <w:rPr>
          <w:sz w:val="22"/>
          <w:szCs w:val="22"/>
          <w:lang w:val="hr-HR"/>
        </w:rPr>
        <w:t>00</w:t>
      </w:r>
      <w:r w:rsidR="00AC31DA">
        <w:rPr>
          <w:sz w:val="22"/>
          <w:szCs w:val="22"/>
          <w:lang w:val="hr-HR"/>
        </w:rPr>
        <w:t>0,00 €.U</w:t>
      </w:r>
      <w:r>
        <w:rPr>
          <w:sz w:val="22"/>
          <w:szCs w:val="22"/>
          <w:lang w:val="hr-HR"/>
        </w:rPr>
        <w:t xml:space="preserve"> Dječjem vrtiću provodi</w:t>
      </w:r>
      <w:r w:rsidR="00AC31DA">
        <w:rPr>
          <w:sz w:val="22"/>
          <w:szCs w:val="22"/>
          <w:lang w:val="hr-HR"/>
        </w:rPr>
        <w:t xml:space="preserve"> se</w:t>
      </w:r>
      <w:r>
        <w:rPr>
          <w:sz w:val="22"/>
          <w:szCs w:val="22"/>
          <w:lang w:val="hr-HR"/>
        </w:rPr>
        <w:t xml:space="preserve"> </w:t>
      </w:r>
      <w:r w:rsidR="00AC31DA">
        <w:rPr>
          <w:sz w:val="22"/>
          <w:szCs w:val="22"/>
          <w:lang w:val="hr-HR"/>
        </w:rPr>
        <w:t>osnovni</w:t>
      </w:r>
      <w:r>
        <w:rPr>
          <w:sz w:val="22"/>
          <w:szCs w:val="22"/>
          <w:lang w:val="hr-HR"/>
        </w:rPr>
        <w:t xml:space="preserve"> program a to je predškolski odgoj i obrazovanje.</w:t>
      </w:r>
    </w:p>
    <w:p w14:paraId="5D5FFC71" w14:textId="77777777" w:rsidR="00A2479F" w:rsidRPr="002947AD" w:rsidRDefault="00A2479F" w:rsidP="00622731">
      <w:pPr>
        <w:tabs>
          <w:tab w:val="left" w:pos="2925"/>
        </w:tabs>
        <w:jc w:val="both"/>
        <w:rPr>
          <w:sz w:val="22"/>
          <w:szCs w:val="22"/>
          <w:lang w:val="hr-HR"/>
        </w:rPr>
      </w:pPr>
    </w:p>
    <w:p w14:paraId="46646D77" w14:textId="77777777" w:rsidR="003501BB" w:rsidRPr="00A2479F" w:rsidRDefault="00A2479F" w:rsidP="00D2637B">
      <w:pPr>
        <w:pStyle w:val="Zaglavlje"/>
        <w:jc w:val="both"/>
        <w:rPr>
          <w:b/>
          <w:bCs/>
          <w:sz w:val="22"/>
          <w:szCs w:val="22"/>
          <w:lang w:val="hr-HR"/>
        </w:rPr>
      </w:pPr>
      <w:r w:rsidRPr="00A2479F">
        <w:rPr>
          <w:b/>
          <w:bCs/>
          <w:sz w:val="22"/>
          <w:szCs w:val="22"/>
          <w:lang w:val="hr-HR"/>
        </w:rPr>
        <w:t>Osnovni program predškolskog odgoja i obrazovanja</w:t>
      </w:r>
    </w:p>
    <w:p w14:paraId="15C85615" w14:textId="77777777" w:rsidR="008570B0" w:rsidRDefault="00BD2E05" w:rsidP="000359D9">
      <w:pPr>
        <w:jc w:val="both"/>
        <w:rPr>
          <w:sz w:val="22"/>
          <w:szCs w:val="22"/>
          <w:lang w:val="hr-HR"/>
        </w:rPr>
      </w:pPr>
      <w:r w:rsidRPr="00BD2E05">
        <w:rPr>
          <w:sz w:val="22"/>
          <w:szCs w:val="22"/>
          <w:lang w:val="hr-HR"/>
        </w:rPr>
        <w:t>Dječji vrtić Katarina Frankopan</w:t>
      </w:r>
      <w:r w:rsidR="006836C2">
        <w:rPr>
          <w:sz w:val="22"/>
          <w:szCs w:val="22"/>
          <w:lang w:val="hr-HR"/>
        </w:rPr>
        <w:t xml:space="preserve"> provodi</w:t>
      </w:r>
      <w:r w:rsidR="008570B0">
        <w:rPr>
          <w:sz w:val="22"/>
          <w:szCs w:val="22"/>
          <w:lang w:val="hr-HR"/>
        </w:rPr>
        <w:t xml:space="preserve"> osnovni program predškolskog odgoja i obrazovanja koji obuhvaća stvaranje i osiguravanje uvjeta za brigu i skrb djece predškolske dobi provođenjem programa njege, odgoja i obrazovanja, zdravstvene zaštite, prehrane i socijalne skrbi za djecu u svim objektima.</w:t>
      </w:r>
    </w:p>
    <w:p w14:paraId="419B3407" w14:textId="77777777" w:rsidR="008570B0" w:rsidRDefault="008570B0" w:rsidP="000359D9">
      <w:pPr>
        <w:jc w:val="both"/>
        <w:rPr>
          <w:sz w:val="22"/>
          <w:szCs w:val="22"/>
          <w:lang w:val="hr-HR"/>
        </w:rPr>
      </w:pPr>
    </w:p>
    <w:p w14:paraId="7A27C68F" w14:textId="77777777" w:rsidR="00C75D27" w:rsidRDefault="008570B0" w:rsidP="000359D9">
      <w:pPr>
        <w:jc w:val="both"/>
        <w:rPr>
          <w:sz w:val="22"/>
          <w:szCs w:val="22"/>
          <w:lang w:val="hr-HR"/>
        </w:rPr>
      </w:pPr>
      <w:r w:rsidRPr="00926541">
        <w:rPr>
          <w:b/>
          <w:bCs/>
          <w:sz w:val="22"/>
          <w:szCs w:val="22"/>
          <w:lang w:val="hr-HR"/>
        </w:rPr>
        <w:t>Osnovni program</w:t>
      </w:r>
      <w:r w:rsidR="00443EDE" w:rsidRPr="00926541">
        <w:rPr>
          <w:b/>
          <w:bCs/>
          <w:sz w:val="22"/>
          <w:szCs w:val="22"/>
          <w:lang w:val="hr-HR"/>
        </w:rPr>
        <w:t xml:space="preserve"> ( šifra 4001</w:t>
      </w:r>
      <w:r w:rsidR="00D36AA6" w:rsidRPr="00926541">
        <w:rPr>
          <w:b/>
          <w:bCs/>
          <w:sz w:val="22"/>
          <w:szCs w:val="22"/>
          <w:lang w:val="hr-HR"/>
        </w:rPr>
        <w:t xml:space="preserve"> predškolski odgoj</w:t>
      </w:r>
      <w:r w:rsidR="00443EDE" w:rsidRPr="00926541">
        <w:rPr>
          <w:b/>
          <w:bCs/>
          <w:sz w:val="22"/>
          <w:szCs w:val="22"/>
          <w:lang w:val="hr-HR"/>
        </w:rPr>
        <w:t>)</w:t>
      </w:r>
      <w:r w:rsidRPr="00926541">
        <w:rPr>
          <w:sz w:val="22"/>
          <w:szCs w:val="22"/>
          <w:lang w:val="hr-HR"/>
        </w:rPr>
        <w:t xml:space="preserve"> </w:t>
      </w:r>
      <w:r w:rsidR="004F67E9" w:rsidRPr="00926541">
        <w:rPr>
          <w:sz w:val="22"/>
          <w:szCs w:val="22"/>
          <w:lang w:val="hr-HR"/>
        </w:rPr>
        <w:t xml:space="preserve">za redovnu djelatnost </w:t>
      </w:r>
      <w:r w:rsidRPr="00926541">
        <w:rPr>
          <w:sz w:val="22"/>
          <w:szCs w:val="22"/>
          <w:lang w:val="hr-HR"/>
        </w:rPr>
        <w:t>provod</w:t>
      </w:r>
      <w:r w:rsidR="00443EDE" w:rsidRPr="00926541">
        <w:rPr>
          <w:sz w:val="22"/>
          <w:szCs w:val="22"/>
          <w:lang w:val="hr-HR"/>
        </w:rPr>
        <w:t>i</w:t>
      </w:r>
      <w:r w:rsidRPr="00926541">
        <w:rPr>
          <w:sz w:val="22"/>
          <w:szCs w:val="22"/>
          <w:lang w:val="hr-HR"/>
        </w:rPr>
        <w:t xml:space="preserve"> se </w:t>
      </w:r>
      <w:r w:rsidR="00443EDE" w:rsidRPr="00926541">
        <w:rPr>
          <w:sz w:val="22"/>
          <w:szCs w:val="22"/>
          <w:lang w:val="hr-HR"/>
        </w:rPr>
        <w:t>kao redovna djelatnost</w:t>
      </w:r>
      <w:r w:rsidR="004F67E9" w:rsidRPr="00926541">
        <w:rPr>
          <w:sz w:val="22"/>
          <w:szCs w:val="22"/>
          <w:lang w:val="hr-HR"/>
        </w:rPr>
        <w:t xml:space="preserve"> objekata u Krku</w:t>
      </w:r>
      <w:r w:rsidR="0026382C">
        <w:rPr>
          <w:sz w:val="22"/>
          <w:szCs w:val="22"/>
          <w:lang w:val="hr-HR"/>
        </w:rPr>
        <w:t>,</w:t>
      </w:r>
      <w:r w:rsidR="004F67E9" w:rsidRPr="00926541">
        <w:rPr>
          <w:sz w:val="22"/>
          <w:szCs w:val="22"/>
          <w:lang w:val="hr-HR"/>
        </w:rPr>
        <w:t xml:space="preserve"> Vrhu</w:t>
      </w:r>
      <w:r w:rsidR="0026382C">
        <w:rPr>
          <w:sz w:val="22"/>
          <w:szCs w:val="22"/>
          <w:lang w:val="hr-HR"/>
        </w:rPr>
        <w:t xml:space="preserve"> i </w:t>
      </w:r>
      <w:proofErr w:type="spellStart"/>
      <w:r w:rsidR="0026382C">
        <w:rPr>
          <w:sz w:val="22"/>
          <w:szCs w:val="22"/>
          <w:lang w:val="hr-HR"/>
        </w:rPr>
        <w:t>Milohnićima</w:t>
      </w:r>
      <w:proofErr w:type="spellEnd"/>
      <w:r w:rsidR="004F67E9" w:rsidRPr="00926541">
        <w:rPr>
          <w:sz w:val="22"/>
          <w:szCs w:val="22"/>
          <w:lang w:val="hr-HR"/>
        </w:rPr>
        <w:t xml:space="preserve"> (</w:t>
      </w:r>
      <w:r w:rsidR="00443EDE" w:rsidRPr="00926541">
        <w:rPr>
          <w:sz w:val="22"/>
          <w:szCs w:val="22"/>
          <w:lang w:val="hr-HR"/>
        </w:rPr>
        <w:t xml:space="preserve"> </w:t>
      </w:r>
      <w:r w:rsidR="004F67E9" w:rsidRPr="00926541">
        <w:rPr>
          <w:sz w:val="22"/>
          <w:szCs w:val="22"/>
          <w:lang w:val="hr-HR"/>
        </w:rPr>
        <w:t>aktivnost A400101)</w:t>
      </w:r>
      <w:r w:rsidR="00C75D27" w:rsidRPr="00926541">
        <w:rPr>
          <w:sz w:val="22"/>
          <w:szCs w:val="22"/>
          <w:lang w:val="hr-HR"/>
        </w:rPr>
        <w:t xml:space="preserve">, </w:t>
      </w:r>
      <w:r w:rsidR="004F67E9" w:rsidRPr="00926541">
        <w:rPr>
          <w:sz w:val="22"/>
          <w:szCs w:val="22"/>
          <w:lang w:val="hr-HR"/>
        </w:rPr>
        <w:t xml:space="preserve"> redovna djelatnost objekata u otočkim općinama</w:t>
      </w:r>
      <w:r w:rsidR="00443EDE" w:rsidRPr="00926541">
        <w:rPr>
          <w:sz w:val="22"/>
          <w:szCs w:val="22"/>
          <w:lang w:val="hr-HR"/>
        </w:rPr>
        <w:t xml:space="preserve"> ( aktivnost A400103)</w:t>
      </w:r>
      <w:r w:rsidR="00C75D27" w:rsidRPr="00926541">
        <w:rPr>
          <w:sz w:val="22"/>
          <w:szCs w:val="22"/>
          <w:lang w:val="hr-HR"/>
        </w:rPr>
        <w:t xml:space="preserve"> te redovna djelatnost financirana </w:t>
      </w:r>
      <w:r w:rsidR="00A16BA3">
        <w:rPr>
          <w:sz w:val="22"/>
          <w:szCs w:val="22"/>
          <w:lang w:val="hr-HR"/>
        </w:rPr>
        <w:t>od</w:t>
      </w:r>
      <w:r w:rsidR="00C75D27" w:rsidRPr="00926541">
        <w:rPr>
          <w:sz w:val="22"/>
          <w:szCs w:val="22"/>
          <w:lang w:val="hr-HR"/>
        </w:rPr>
        <w:t xml:space="preserve"> uplate roditelja (aktivnost A400105).</w:t>
      </w:r>
    </w:p>
    <w:p w14:paraId="62F949DE" w14:textId="77777777" w:rsidR="00A16BA3" w:rsidRPr="00926541" w:rsidRDefault="00A16BA3" w:rsidP="000359D9">
      <w:pPr>
        <w:jc w:val="both"/>
        <w:rPr>
          <w:sz w:val="22"/>
          <w:szCs w:val="22"/>
          <w:lang w:val="hr-HR"/>
        </w:rPr>
      </w:pPr>
    </w:p>
    <w:p w14:paraId="1093B579" w14:textId="77777777" w:rsidR="008570B0" w:rsidRPr="009A4B90" w:rsidRDefault="00443EDE" w:rsidP="000359D9">
      <w:pPr>
        <w:jc w:val="both"/>
        <w:rPr>
          <w:sz w:val="22"/>
          <w:szCs w:val="22"/>
          <w:lang w:val="hr-HR"/>
        </w:rPr>
      </w:pPr>
      <w:r w:rsidRPr="009A4B90">
        <w:rPr>
          <w:sz w:val="22"/>
          <w:szCs w:val="22"/>
          <w:lang w:val="hr-HR"/>
        </w:rPr>
        <w:t xml:space="preserve"> Program se sastoji od:</w:t>
      </w:r>
    </w:p>
    <w:p w14:paraId="0DA5A50C" w14:textId="0A62E8BD" w:rsidR="00804E26" w:rsidRPr="009A4B90" w:rsidRDefault="00804E26" w:rsidP="009A4B90">
      <w:pPr>
        <w:numPr>
          <w:ilvl w:val="0"/>
          <w:numId w:val="17"/>
        </w:numPr>
        <w:jc w:val="both"/>
        <w:rPr>
          <w:sz w:val="22"/>
          <w:szCs w:val="22"/>
          <w:lang w:val="hr-HR"/>
        </w:rPr>
      </w:pPr>
      <w:r w:rsidRPr="009A4B90">
        <w:rPr>
          <w:sz w:val="22"/>
          <w:szCs w:val="22"/>
          <w:lang w:val="hr-HR"/>
        </w:rPr>
        <w:t>10 satn</w:t>
      </w:r>
      <w:r w:rsidR="00443EDE" w:rsidRPr="009A4B90">
        <w:rPr>
          <w:sz w:val="22"/>
          <w:szCs w:val="22"/>
          <w:lang w:val="hr-HR"/>
        </w:rPr>
        <w:t>og</w:t>
      </w:r>
      <w:r w:rsidR="00BD2E05" w:rsidRPr="009A4B90">
        <w:rPr>
          <w:sz w:val="22"/>
          <w:szCs w:val="22"/>
          <w:lang w:val="hr-HR"/>
        </w:rPr>
        <w:t xml:space="preserve"> program</w:t>
      </w:r>
      <w:r w:rsidR="00443EDE" w:rsidRPr="009A4B90">
        <w:rPr>
          <w:sz w:val="22"/>
          <w:szCs w:val="22"/>
          <w:lang w:val="hr-HR"/>
        </w:rPr>
        <w:t>a</w:t>
      </w:r>
      <w:r w:rsidR="00BD2E05" w:rsidRPr="009A4B90">
        <w:rPr>
          <w:sz w:val="22"/>
          <w:szCs w:val="22"/>
          <w:lang w:val="hr-HR"/>
        </w:rPr>
        <w:t xml:space="preserve"> odgojno-obrazovnog rada </w:t>
      </w:r>
      <w:r w:rsidR="00994B50" w:rsidRPr="009A4B90">
        <w:rPr>
          <w:sz w:val="22"/>
          <w:szCs w:val="22"/>
          <w:lang w:val="hr-HR"/>
        </w:rPr>
        <w:t>a obuhvaća vrtić</w:t>
      </w:r>
      <w:r w:rsidR="00BD2E05" w:rsidRPr="009A4B90">
        <w:rPr>
          <w:sz w:val="22"/>
          <w:szCs w:val="22"/>
          <w:lang w:val="hr-HR"/>
        </w:rPr>
        <w:t xml:space="preserve"> u sjedištu u Krku i </w:t>
      </w:r>
      <w:r w:rsidR="00A16BA3" w:rsidRPr="009A4B90">
        <w:rPr>
          <w:sz w:val="22"/>
          <w:szCs w:val="22"/>
          <w:lang w:val="hr-HR"/>
        </w:rPr>
        <w:t>devet</w:t>
      </w:r>
      <w:r w:rsidR="00BD2E05" w:rsidRPr="009A4B90">
        <w:rPr>
          <w:sz w:val="22"/>
          <w:szCs w:val="22"/>
          <w:lang w:val="hr-HR"/>
        </w:rPr>
        <w:t xml:space="preserve"> područnih vrtića u Omišlju, Njivicama, Malinskoj, Krku, Vrhu, Vrbniku, Puntu</w:t>
      </w:r>
      <w:r w:rsidR="00A16BA3" w:rsidRPr="009A4B90">
        <w:rPr>
          <w:sz w:val="22"/>
          <w:szCs w:val="22"/>
          <w:lang w:val="hr-HR"/>
        </w:rPr>
        <w:t>,</w:t>
      </w:r>
      <w:r w:rsidR="00BD2E05" w:rsidRPr="009A4B90">
        <w:rPr>
          <w:sz w:val="22"/>
          <w:szCs w:val="22"/>
          <w:lang w:val="hr-HR"/>
        </w:rPr>
        <w:t xml:space="preserve"> Baški</w:t>
      </w:r>
      <w:r w:rsidR="00A16BA3" w:rsidRPr="009A4B90">
        <w:rPr>
          <w:sz w:val="22"/>
          <w:szCs w:val="22"/>
          <w:lang w:val="hr-HR"/>
        </w:rPr>
        <w:t xml:space="preserve"> i </w:t>
      </w:r>
      <w:proofErr w:type="spellStart"/>
      <w:r w:rsidR="00A16BA3" w:rsidRPr="009A4B90">
        <w:rPr>
          <w:sz w:val="22"/>
          <w:szCs w:val="22"/>
          <w:lang w:val="hr-HR"/>
        </w:rPr>
        <w:t>Milohnićima</w:t>
      </w:r>
      <w:proofErr w:type="spellEnd"/>
    </w:p>
    <w:p w14:paraId="26B978C8" w14:textId="0F875987" w:rsidR="00804E26" w:rsidRPr="009A4B90" w:rsidRDefault="00804E26" w:rsidP="009A4B90">
      <w:pPr>
        <w:numPr>
          <w:ilvl w:val="0"/>
          <w:numId w:val="17"/>
        </w:numPr>
        <w:jc w:val="both"/>
        <w:rPr>
          <w:sz w:val="22"/>
          <w:szCs w:val="22"/>
          <w:lang w:val="hr-HR"/>
        </w:rPr>
      </w:pPr>
      <w:r w:rsidRPr="009A4B90">
        <w:rPr>
          <w:sz w:val="22"/>
          <w:szCs w:val="22"/>
          <w:lang w:val="hr-HR"/>
        </w:rPr>
        <w:t>9,5 satn</w:t>
      </w:r>
      <w:r w:rsidR="00443EDE" w:rsidRPr="009A4B90">
        <w:rPr>
          <w:sz w:val="22"/>
          <w:szCs w:val="22"/>
          <w:lang w:val="hr-HR"/>
        </w:rPr>
        <w:t>og</w:t>
      </w:r>
      <w:r w:rsidRPr="009A4B90">
        <w:rPr>
          <w:sz w:val="22"/>
          <w:szCs w:val="22"/>
          <w:lang w:val="hr-HR"/>
        </w:rPr>
        <w:t xml:space="preserve"> progra</w:t>
      </w:r>
      <w:r w:rsidR="006D3002" w:rsidRPr="009A4B90">
        <w:rPr>
          <w:sz w:val="22"/>
          <w:szCs w:val="22"/>
          <w:lang w:val="hr-HR"/>
        </w:rPr>
        <w:t>m</w:t>
      </w:r>
      <w:r w:rsidR="00443EDE" w:rsidRPr="009A4B90">
        <w:rPr>
          <w:sz w:val="22"/>
          <w:szCs w:val="22"/>
          <w:lang w:val="hr-HR"/>
        </w:rPr>
        <w:t>a</w:t>
      </w:r>
      <w:r w:rsidRPr="009A4B90">
        <w:rPr>
          <w:sz w:val="22"/>
          <w:szCs w:val="22"/>
          <w:lang w:val="hr-HR"/>
        </w:rPr>
        <w:t xml:space="preserve"> u</w:t>
      </w:r>
      <w:r w:rsidR="00AC31DA" w:rsidRPr="009A4B90">
        <w:rPr>
          <w:sz w:val="22"/>
          <w:szCs w:val="22"/>
          <w:lang w:val="hr-HR"/>
        </w:rPr>
        <w:t xml:space="preserve"> područnom vrtiću u Polju</w:t>
      </w:r>
      <w:r w:rsidRPr="009A4B90">
        <w:rPr>
          <w:sz w:val="22"/>
          <w:szCs w:val="22"/>
          <w:lang w:val="hr-HR"/>
        </w:rPr>
        <w:t xml:space="preserve"> i</w:t>
      </w:r>
    </w:p>
    <w:p w14:paraId="345B45B5" w14:textId="568252BA" w:rsidR="00804E26" w:rsidRPr="009A4B90" w:rsidRDefault="00804E26" w:rsidP="009A4B90">
      <w:pPr>
        <w:numPr>
          <w:ilvl w:val="0"/>
          <w:numId w:val="17"/>
        </w:numPr>
        <w:jc w:val="both"/>
        <w:rPr>
          <w:sz w:val="22"/>
          <w:szCs w:val="22"/>
          <w:lang w:val="hr-HR"/>
        </w:rPr>
      </w:pPr>
      <w:r w:rsidRPr="009A4B90">
        <w:rPr>
          <w:sz w:val="22"/>
          <w:szCs w:val="22"/>
          <w:lang w:val="hr-HR"/>
        </w:rPr>
        <w:t>5,5 satn</w:t>
      </w:r>
      <w:r w:rsidR="00443EDE" w:rsidRPr="009A4B90">
        <w:rPr>
          <w:sz w:val="22"/>
          <w:szCs w:val="22"/>
          <w:lang w:val="hr-HR"/>
        </w:rPr>
        <w:t>og</w:t>
      </w:r>
      <w:r w:rsidRPr="009A4B90">
        <w:rPr>
          <w:sz w:val="22"/>
          <w:szCs w:val="22"/>
          <w:lang w:val="hr-HR"/>
        </w:rPr>
        <w:t xml:space="preserve"> program</w:t>
      </w:r>
      <w:r w:rsidR="00443EDE" w:rsidRPr="009A4B90">
        <w:rPr>
          <w:sz w:val="22"/>
          <w:szCs w:val="22"/>
          <w:lang w:val="hr-HR"/>
        </w:rPr>
        <w:t>a a</w:t>
      </w:r>
      <w:r w:rsidRPr="009A4B90">
        <w:rPr>
          <w:sz w:val="22"/>
          <w:szCs w:val="22"/>
          <w:lang w:val="hr-HR"/>
        </w:rPr>
        <w:t xml:space="preserve"> provodi se u matičnom vrtić za </w:t>
      </w:r>
      <w:r w:rsidRPr="009A4B90">
        <w:rPr>
          <w:rFonts w:eastAsia="Lucida Sans Unicode"/>
          <w:kern w:val="2"/>
          <w:sz w:val="22"/>
          <w:szCs w:val="22"/>
          <w:lang w:val="hr-HR" w:eastAsia="zh-CN" w:bidi="hi-IN"/>
        </w:rPr>
        <w:t xml:space="preserve">djecu s posebnim </w:t>
      </w:r>
      <w:r w:rsidRPr="009A4B90">
        <w:rPr>
          <w:sz w:val="22"/>
          <w:szCs w:val="22"/>
          <w:lang w:val="hr-HR"/>
        </w:rPr>
        <w:t>potrebama.</w:t>
      </w:r>
    </w:p>
    <w:p w14:paraId="2C8DFB4F" w14:textId="60AC9CBC" w:rsidR="00994B50" w:rsidRPr="009A4B90" w:rsidRDefault="00D36AA6"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Uz redovnu djelatnost provodi se i aktivnost kapitalnih ulaganja te imamo</w:t>
      </w:r>
      <w:r w:rsidR="006A4C78" w:rsidRPr="009A4B90">
        <w:rPr>
          <w:rFonts w:eastAsia="Lucida Sans Unicode"/>
          <w:kern w:val="2"/>
          <w:sz w:val="22"/>
          <w:szCs w:val="22"/>
          <w:lang w:val="hr-HR" w:eastAsia="zh-CN" w:bidi="hi-IN"/>
        </w:rPr>
        <w:t>:</w:t>
      </w:r>
    </w:p>
    <w:p w14:paraId="5DEED546" w14:textId="61C2BDA7" w:rsidR="006A4C78" w:rsidRPr="009A4B90" w:rsidRDefault="006A4C78"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kapitalno ulaganje za opremu objekata u Krku  Vrhu</w:t>
      </w:r>
      <w:r w:rsidR="00A16BA3" w:rsidRPr="009A4B90">
        <w:rPr>
          <w:rFonts w:eastAsia="Lucida Sans Unicode"/>
          <w:kern w:val="2"/>
          <w:sz w:val="22"/>
          <w:szCs w:val="22"/>
          <w:lang w:val="hr-HR" w:eastAsia="zh-CN" w:bidi="hi-IN"/>
        </w:rPr>
        <w:t xml:space="preserve"> </w:t>
      </w:r>
      <w:r w:rsidR="00735621">
        <w:rPr>
          <w:rFonts w:eastAsia="Lucida Sans Unicode"/>
          <w:kern w:val="2"/>
          <w:sz w:val="22"/>
          <w:szCs w:val="22"/>
          <w:lang w:val="hr-HR" w:eastAsia="zh-CN" w:bidi="hi-IN"/>
        </w:rPr>
        <w:t>i</w:t>
      </w:r>
      <w:r w:rsidR="00A16BA3" w:rsidRPr="009A4B90">
        <w:rPr>
          <w:rFonts w:eastAsia="Lucida Sans Unicode"/>
          <w:kern w:val="2"/>
          <w:sz w:val="22"/>
          <w:szCs w:val="22"/>
          <w:lang w:val="hr-HR" w:eastAsia="zh-CN" w:bidi="hi-IN"/>
        </w:rPr>
        <w:t xml:space="preserve"> </w:t>
      </w:r>
      <w:proofErr w:type="spellStart"/>
      <w:r w:rsidR="00A16BA3" w:rsidRPr="009A4B90">
        <w:rPr>
          <w:rFonts w:eastAsia="Lucida Sans Unicode"/>
          <w:kern w:val="2"/>
          <w:sz w:val="22"/>
          <w:szCs w:val="22"/>
          <w:lang w:val="hr-HR" w:eastAsia="zh-CN" w:bidi="hi-IN"/>
        </w:rPr>
        <w:t>Milohnićima</w:t>
      </w:r>
      <w:proofErr w:type="spellEnd"/>
      <w:r w:rsidRPr="009A4B90">
        <w:rPr>
          <w:rFonts w:eastAsia="Lucida Sans Unicode"/>
          <w:kern w:val="2"/>
          <w:sz w:val="22"/>
          <w:szCs w:val="22"/>
          <w:lang w:val="hr-HR" w:eastAsia="zh-CN" w:bidi="hi-IN"/>
        </w:rPr>
        <w:t xml:space="preserve"> (</w:t>
      </w:r>
      <w:r w:rsidR="00A16BA3" w:rsidRPr="009A4B90">
        <w:rPr>
          <w:rFonts w:eastAsia="Lucida Sans Unicode"/>
          <w:kern w:val="2"/>
          <w:sz w:val="22"/>
          <w:szCs w:val="22"/>
          <w:lang w:val="hr-HR" w:eastAsia="zh-CN" w:bidi="hi-IN"/>
        </w:rPr>
        <w:t>aktivnost</w:t>
      </w:r>
      <w:r w:rsidRPr="009A4B90">
        <w:rPr>
          <w:rFonts w:eastAsia="Lucida Sans Unicode"/>
          <w:kern w:val="2"/>
          <w:sz w:val="22"/>
          <w:szCs w:val="22"/>
          <w:lang w:val="hr-HR" w:eastAsia="zh-CN" w:bidi="hi-IN"/>
        </w:rPr>
        <w:t xml:space="preserve"> K400102)</w:t>
      </w:r>
      <w:r w:rsidR="00A16BA3" w:rsidRPr="009A4B90">
        <w:rPr>
          <w:rFonts w:eastAsia="Lucida Sans Unicode"/>
          <w:kern w:val="2"/>
          <w:sz w:val="22"/>
          <w:szCs w:val="22"/>
          <w:lang w:val="hr-HR" w:eastAsia="zh-CN" w:bidi="hi-IN"/>
        </w:rPr>
        <w:t>,</w:t>
      </w:r>
    </w:p>
    <w:p w14:paraId="2E78B486" w14:textId="6977564A" w:rsidR="006A4C78" w:rsidRPr="009A4B90" w:rsidRDefault="006A4C78"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kapitalno ulaganje  za opremu objekata u otočnim općinama (</w:t>
      </w:r>
      <w:r w:rsidR="00A16BA3" w:rsidRPr="009A4B90">
        <w:rPr>
          <w:rFonts w:eastAsia="Lucida Sans Unicode"/>
          <w:kern w:val="2"/>
          <w:sz w:val="22"/>
          <w:szCs w:val="22"/>
          <w:lang w:val="hr-HR" w:eastAsia="zh-CN" w:bidi="hi-IN"/>
        </w:rPr>
        <w:t>aktivnost</w:t>
      </w:r>
      <w:r w:rsidRPr="009A4B90">
        <w:rPr>
          <w:rFonts w:eastAsia="Lucida Sans Unicode"/>
          <w:kern w:val="2"/>
          <w:sz w:val="22"/>
          <w:szCs w:val="22"/>
          <w:lang w:val="hr-HR" w:eastAsia="zh-CN" w:bidi="hi-IN"/>
        </w:rPr>
        <w:t xml:space="preserve"> K400104)</w:t>
      </w:r>
      <w:r w:rsidR="00A16BA3" w:rsidRPr="009A4B90">
        <w:rPr>
          <w:rFonts w:eastAsia="Lucida Sans Unicode"/>
          <w:kern w:val="2"/>
          <w:sz w:val="22"/>
          <w:szCs w:val="22"/>
          <w:lang w:val="hr-HR" w:eastAsia="zh-CN" w:bidi="hi-IN"/>
        </w:rPr>
        <w:t xml:space="preserve"> te</w:t>
      </w:r>
    </w:p>
    <w:p w14:paraId="67B24734" w14:textId="22363CF6" w:rsidR="00A16BA3" w:rsidRPr="009A4B90" w:rsidRDefault="00A16BA3"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kapitalno ulaganje-nabava vozila ( aktivnost K400110).</w:t>
      </w:r>
    </w:p>
    <w:p w14:paraId="3D627D84" w14:textId="77777777" w:rsidR="00A16BA3" w:rsidRPr="00926541" w:rsidRDefault="00A16BA3" w:rsidP="006A4C78">
      <w:pPr>
        <w:jc w:val="both"/>
        <w:rPr>
          <w:sz w:val="22"/>
          <w:szCs w:val="22"/>
          <w:lang w:val="hr-HR"/>
        </w:rPr>
      </w:pPr>
    </w:p>
    <w:p w14:paraId="067612D0" w14:textId="77777777" w:rsidR="00BD2E05" w:rsidRPr="00926541" w:rsidRDefault="00BD2E05" w:rsidP="00BD2E05">
      <w:pPr>
        <w:jc w:val="both"/>
        <w:rPr>
          <w:sz w:val="22"/>
          <w:szCs w:val="22"/>
          <w:lang w:val="hr-HR"/>
        </w:rPr>
      </w:pPr>
      <w:r w:rsidRPr="00926541">
        <w:rPr>
          <w:sz w:val="22"/>
          <w:szCs w:val="22"/>
          <w:lang w:val="hr-HR"/>
        </w:rPr>
        <w:t>Djelatnost se odvija u skladu sa Zakonom o predškolskom odgoju i obrazovanju, Statutom vrtića te ostalim pravilnicima i propisima vezanim uz rad Vrtića.</w:t>
      </w:r>
      <w:r w:rsidR="00994B50" w:rsidRPr="00926541">
        <w:rPr>
          <w:sz w:val="22"/>
          <w:szCs w:val="22"/>
          <w:lang w:val="hr-HR"/>
        </w:rPr>
        <w:t xml:space="preserve"> </w:t>
      </w:r>
    </w:p>
    <w:p w14:paraId="7ABC7194" w14:textId="77777777" w:rsidR="000359D9" w:rsidRPr="00926541" w:rsidRDefault="00994B50" w:rsidP="000359D9">
      <w:pPr>
        <w:widowControl w:val="0"/>
        <w:suppressAutoHyphens/>
        <w:jc w:val="both"/>
        <w:textAlignment w:val="baseline"/>
        <w:rPr>
          <w:sz w:val="22"/>
          <w:szCs w:val="22"/>
          <w:lang w:val="hr-HR"/>
        </w:rPr>
      </w:pPr>
      <w:r w:rsidRPr="00926541">
        <w:rPr>
          <w:sz w:val="22"/>
          <w:szCs w:val="22"/>
          <w:lang w:val="hr-HR"/>
        </w:rPr>
        <w:lastRenderedPageBreak/>
        <w:t>Vrtić djeluje u 4</w:t>
      </w:r>
      <w:r w:rsidR="00A16BA3">
        <w:rPr>
          <w:sz w:val="22"/>
          <w:szCs w:val="22"/>
          <w:lang w:val="hr-HR"/>
        </w:rPr>
        <w:t>3</w:t>
      </w:r>
      <w:r w:rsidRPr="00926541">
        <w:rPr>
          <w:sz w:val="22"/>
          <w:szCs w:val="22"/>
          <w:lang w:val="hr-HR"/>
        </w:rPr>
        <w:t xml:space="preserve"> odgojno-obrazovn</w:t>
      </w:r>
      <w:r w:rsidR="00A16BA3">
        <w:rPr>
          <w:sz w:val="22"/>
          <w:szCs w:val="22"/>
          <w:lang w:val="hr-HR"/>
        </w:rPr>
        <w:t>e</w:t>
      </w:r>
      <w:r w:rsidRPr="00926541">
        <w:rPr>
          <w:sz w:val="22"/>
          <w:szCs w:val="22"/>
          <w:lang w:val="hr-HR"/>
        </w:rPr>
        <w:t xml:space="preserve"> skupin</w:t>
      </w:r>
      <w:r w:rsidR="00A16BA3">
        <w:rPr>
          <w:sz w:val="22"/>
          <w:szCs w:val="22"/>
          <w:lang w:val="hr-HR"/>
        </w:rPr>
        <w:t>e</w:t>
      </w:r>
      <w:r w:rsidRPr="00926541">
        <w:rPr>
          <w:sz w:val="22"/>
          <w:szCs w:val="22"/>
          <w:lang w:val="hr-HR"/>
        </w:rPr>
        <w:t xml:space="preserve">, od toga </w:t>
      </w:r>
      <w:r w:rsidR="00534E8A">
        <w:rPr>
          <w:sz w:val="22"/>
          <w:szCs w:val="22"/>
          <w:lang w:val="hr-HR"/>
        </w:rPr>
        <w:t>5</w:t>
      </w:r>
      <w:r w:rsidRPr="00926541">
        <w:rPr>
          <w:sz w:val="22"/>
          <w:szCs w:val="22"/>
          <w:lang w:val="hr-HR"/>
        </w:rPr>
        <w:t xml:space="preserve"> skupine djece u godini pred polazak u školu (Krk, Omišalj</w:t>
      </w:r>
      <w:r w:rsidR="00534E8A">
        <w:rPr>
          <w:sz w:val="22"/>
          <w:szCs w:val="22"/>
          <w:lang w:val="hr-HR"/>
        </w:rPr>
        <w:t>,</w:t>
      </w:r>
      <w:r w:rsidRPr="00926541">
        <w:rPr>
          <w:sz w:val="22"/>
          <w:szCs w:val="22"/>
          <w:lang w:val="hr-HR"/>
        </w:rPr>
        <w:t xml:space="preserve"> Malinska</w:t>
      </w:r>
      <w:r w:rsidR="00534E8A">
        <w:rPr>
          <w:sz w:val="22"/>
          <w:szCs w:val="22"/>
          <w:lang w:val="hr-HR"/>
        </w:rPr>
        <w:t xml:space="preserve"> i Vrh</w:t>
      </w:r>
      <w:r w:rsidRPr="00926541">
        <w:rPr>
          <w:sz w:val="22"/>
          <w:szCs w:val="22"/>
          <w:lang w:val="hr-HR"/>
        </w:rPr>
        <w:t>), 2</w:t>
      </w:r>
      <w:r w:rsidR="00534E8A">
        <w:rPr>
          <w:sz w:val="22"/>
          <w:szCs w:val="22"/>
          <w:lang w:val="hr-HR"/>
        </w:rPr>
        <w:t>5</w:t>
      </w:r>
      <w:r w:rsidRPr="00926541">
        <w:rPr>
          <w:sz w:val="22"/>
          <w:szCs w:val="22"/>
          <w:lang w:val="hr-HR"/>
        </w:rPr>
        <w:t xml:space="preserve"> vrtićkih mješovitih, 1 </w:t>
      </w:r>
      <w:r w:rsidR="00605D55" w:rsidRPr="00926541">
        <w:rPr>
          <w:sz w:val="22"/>
          <w:szCs w:val="22"/>
          <w:lang w:val="hr-HR"/>
        </w:rPr>
        <w:t xml:space="preserve">vrtićka </w:t>
      </w:r>
      <w:r w:rsidRPr="00926541">
        <w:rPr>
          <w:sz w:val="22"/>
          <w:szCs w:val="22"/>
          <w:lang w:val="hr-HR"/>
        </w:rPr>
        <w:t>skupina djece s posebnim potrebama i 1</w:t>
      </w:r>
      <w:r w:rsidR="007E0647">
        <w:rPr>
          <w:sz w:val="22"/>
          <w:szCs w:val="22"/>
          <w:lang w:val="hr-HR"/>
        </w:rPr>
        <w:t>2</w:t>
      </w:r>
      <w:r w:rsidRPr="00926541">
        <w:rPr>
          <w:sz w:val="22"/>
          <w:szCs w:val="22"/>
          <w:lang w:val="hr-HR"/>
        </w:rPr>
        <w:t xml:space="preserve"> jasličkih mješovitih skupina.</w:t>
      </w:r>
      <w:r w:rsidR="000359D9" w:rsidRPr="00926541">
        <w:rPr>
          <w:sz w:val="22"/>
          <w:szCs w:val="22"/>
          <w:lang w:val="hr-HR"/>
        </w:rPr>
        <w:t xml:space="preserve"> </w:t>
      </w:r>
    </w:p>
    <w:p w14:paraId="2A5E2790" w14:textId="3A4BD4F3" w:rsidR="00BD2E05" w:rsidRPr="00926541" w:rsidRDefault="00BD2E05" w:rsidP="00BD2E05">
      <w:pPr>
        <w:jc w:val="both"/>
        <w:rPr>
          <w:sz w:val="22"/>
          <w:szCs w:val="22"/>
          <w:lang w:val="hr-HR"/>
        </w:rPr>
      </w:pPr>
      <w:r w:rsidRPr="00926541">
        <w:rPr>
          <w:sz w:val="22"/>
          <w:szCs w:val="22"/>
          <w:lang w:val="hr-HR"/>
        </w:rPr>
        <w:t>U neposrednom radu s djecom radi</w:t>
      </w:r>
      <w:r w:rsidR="00994B50" w:rsidRPr="00926541">
        <w:rPr>
          <w:sz w:val="22"/>
          <w:szCs w:val="22"/>
          <w:lang w:val="hr-HR"/>
        </w:rPr>
        <w:t xml:space="preserve"> </w:t>
      </w:r>
      <w:r w:rsidR="006D3002" w:rsidRPr="00926541">
        <w:rPr>
          <w:sz w:val="22"/>
          <w:szCs w:val="22"/>
          <w:lang w:val="hr-HR"/>
        </w:rPr>
        <w:t>86</w:t>
      </w:r>
      <w:r w:rsidRPr="00926541">
        <w:rPr>
          <w:sz w:val="22"/>
          <w:szCs w:val="22"/>
          <w:lang w:val="hr-HR"/>
        </w:rPr>
        <w:t xml:space="preserve"> odgojitelja/</w:t>
      </w:r>
      <w:proofErr w:type="spellStart"/>
      <w:r w:rsidRPr="00926541">
        <w:rPr>
          <w:sz w:val="22"/>
          <w:szCs w:val="22"/>
          <w:lang w:val="hr-HR"/>
        </w:rPr>
        <w:t>ica</w:t>
      </w:r>
      <w:proofErr w:type="spellEnd"/>
      <w:r w:rsidRPr="00926541">
        <w:rPr>
          <w:sz w:val="22"/>
          <w:szCs w:val="22"/>
          <w:lang w:val="hr-HR"/>
        </w:rPr>
        <w:t xml:space="preserve">, </w:t>
      </w:r>
      <w:r w:rsidR="0029425A" w:rsidRPr="00926541">
        <w:rPr>
          <w:sz w:val="22"/>
          <w:szCs w:val="22"/>
          <w:lang w:val="hr-HR"/>
        </w:rPr>
        <w:t>2</w:t>
      </w:r>
      <w:r w:rsidRPr="00926541">
        <w:rPr>
          <w:sz w:val="22"/>
          <w:szCs w:val="22"/>
          <w:lang w:val="hr-HR"/>
        </w:rPr>
        <w:t xml:space="preserve"> edukacijsk</w:t>
      </w:r>
      <w:r w:rsidR="0029425A" w:rsidRPr="00926541">
        <w:rPr>
          <w:sz w:val="22"/>
          <w:szCs w:val="22"/>
          <w:lang w:val="hr-HR"/>
        </w:rPr>
        <w:t>a</w:t>
      </w:r>
      <w:r w:rsidRPr="00926541">
        <w:rPr>
          <w:sz w:val="22"/>
          <w:szCs w:val="22"/>
          <w:lang w:val="hr-HR"/>
        </w:rPr>
        <w:t xml:space="preserve"> </w:t>
      </w:r>
      <w:proofErr w:type="spellStart"/>
      <w:r w:rsidRPr="00926541">
        <w:rPr>
          <w:sz w:val="22"/>
          <w:szCs w:val="22"/>
          <w:lang w:val="hr-HR"/>
        </w:rPr>
        <w:t>rehabilitator</w:t>
      </w:r>
      <w:r w:rsidR="0029425A" w:rsidRPr="00926541">
        <w:rPr>
          <w:sz w:val="22"/>
          <w:szCs w:val="22"/>
          <w:lang w:val="hr-HR"/>
        </w:rPr>
        <w:t>a</w:t>
      </w:r>
      <w:proofErr w:type="spellEnd"/>
      <w:r w:rsidRPr="00926541">
        <w:rPr>
          <w:sz w:val="22"/>
          <w:szCs w:val="22"/>
          <w:lang w:val="hr-HR"/>
        </w:rPr>
        <w:t>- odgojitelj</w:t>
      </w:r>
      <w:r w:rsidR="0029425A" w:rsidRPr="00926541">
        <w:rPr>
          <w:sz w:val="22"/>
          <w:szCs w:val="22"/>
          <w:lang w:val="hr-HR"/>
        </w:rPr>
        <w:t>a</w:t>
      </w:r>
      <w:r w:rsidRPr="00926541">
        <w:rPr>
          <w:sz w:val="22"/>
          <w:szCs w:val="22"/>
          <w:lang w:val="hr-HR"/>
        </w:rPr>
        <w:t xml:space="preserve"> </w:t>
      </w:r>
      <w:r w:rsidR="0029027A" w:rsidRPr="00926541">
        <w:rPr>
          <w:sz w:val="22"/>
          <w:szCs w:val="22"/>
          <w:lang w:val="hr-HR"/>
        </w:rPr>
        <w:t xml:space="preserve"> u </w:t>
      </w:r>
      <w:r w:rsidRPr="00926541">
        <w:rPr>
          <w:sz w:val="22"/>
          <w:szCs w:val="22"/>
          <w:lang w:val="hr-HR"/>
        </w:rPr>
        <w:t>skupini za dje</w:t>
      </w:r>
      <w:r w:rsidR="0029027A" w:rsidRPr="00926541">
        <w:rPr>
          <w:sz w:val="22"/>
          <w:szCs w:val="22"/>
          <w:lang w:val="hr-HR"/>
        </w:rPr>
        <w:t>cu</w:t>
      </w:r>
      <w:r w:rsidRPr="00926541">
        <w:rPr>
          <w:sz w:val="22"/>
          <w:szCs w:val="22"/>
          <w:lang w:val="hr-HR"/>
        </w:rPr>
        <w:t xml:space="preserve"> s teškoćama. </w:t>
      </w:r>
      <w:r w:rsidR="0029027A" w:rsidRPr="00926541">
        <w:rPr>
          <w:sz w:val="22"/>
          <w:szCs w:val="22"/>
          <w:lang w:val="hr-HR"/>
        </w:rPr>
        <w:t xml:space="preserve">U provođenju programa još su uključeni stručni tim kojeg čine </w:t>
      </w:r>
      <w:r w:rsidR="006D3002" w:rsidRPr="00926541">
        <w:rPr>
          <w:sz w:val="22"/>
          <w:szCs w:val="22"/>
          <w:lang w:val="hr-HR"/>
        </w:rPr>
        <w:t>ravnatelj</w:t>
      </w:r>
      <w:r w:rsidR="00CF3C05" w:rsidRPr="00926541">
        <w:rPr>
          <w:sz w:val="22"/>
          <w:szCs w:val="22"/>
          <w:lang w:val="hr-HR"/>
        </w:rPr>
        <w:t>ica</w:t>
      </w:r>
      <w:r w:rsidR="006D3002" w:rsidRPr="00926541">
        <w:rPr>
          <w:sz w:val="22"/>
          <w:szCs w:val="22"/>
          <w:lang w:val="hr-HR"/>
        </w:rPr>
        <w:t>, 2 pedagog</w:t>
      </w:r>
      <w:r w:rsidR="00CF3C05" w:rsidRPr="00926541">
        <w:rPr>
          <w:sz w:val="22"/>
          <w:szCs w:val="22"/>
          <w:lang w:val="hr-HR"/>
        </w:rPr>
        <w:t>inje</w:t>
      </w:r>
      <w:r w:rsidR="006D3002" w:rsidRPr="00926541">
        <w:rPr>
          <w:sz w:val="22"/>
          <w:szCs w:val="22"/>
          <w:lang w:val="hr-HR"/>
        </w:rPr>
        <w:t>, psiholog</w:t>
      </w:r>
      <w:r w:rsidR="00CF3C05" w:rsidRPr="00926541">
        <w:rPr>
          <w:sz w:val="22"/>
          <w:szCs w:val="22"/>
          <w:lang w:val="hr-HR"/>
        </w:rPr>
        <w:t>inja</w:t>
      </w:r>
      <w:r w:rsidR="006D3002" w:rsidRPr="00926541">
        <w:rPr>
          <w:sz w:val="22"/>
          <w:szCs w:val="22"/>
          <w:lang w:val="hr-HR"/>
        </w:rPr>
        <w:t xml:space="preserve"> i zdravstven</w:t>
      </w:r>
      <w:r w:rsidR="00CF3C05" w:rsidRPr="00926541">
        <w:rPr>
          <w:sz w:val="22"/>
          <w:szCs w:val="22"/>
          <w:lang w:val="hr-HR"/>
        </w:rPr>
        <w:t>a</w:t>
      </w:r>
      <w:r w:rsidR="006D3002" w:rsidRPr="00926541">
        <w:rPr>
          <w:sz w:val="22"/>
          <w:szCs w:val="22"/>
          <w:lang w:val="hr-HR"/>
        </w:rPr>
        <w:t xml:space="preserve"> voditelj</w:t>
      </w:r>
      <w:r w:rsidR="00CF3C05" w:rsidRPr="00926541">
        <w:rPr>
          <w:sz w:val="22"/>
          <w:szCs w:val="22"/>
          <w:lang w:val="hr-HR"/>
        </w:rPr>
        <w:t>ica</w:t>
      </w:r>
      <w:r w:rsidR="006D3002" w:rsidRPr="00926541">
        <w:rPr>
          <w:sz w:val="22"/>
          <w:szCs w:val="22"/>
          <w:lang w:val="hr-HR"/>
        </w:rPr>
        <w:t>. Na poslovima prehrane</w:t>
      </w:r>
      <w:r w:rsidR="00CF3C05" w:rsidRPr="00926541">
        <w:rPr>
          <w:sz w:val="22"/>
          <w:szCs w:val="22"/>
          <w:lang w:val="hr-HR"/>
        </w:rPr>
        <w:t xml:space="preserve"> radi 1</w:t>
      </w:r>
      <w:r w:rsidR="007E0647">
        <w:rPr>
          <w:sz w:val="22"/>
          <w:szCs w:val="22"/>
          <w:lang w:val="hr-HR"/>
        </w:rPr>
        <w:t>5</w:t>
      </w:r>
      <w:r w:rsidR="00CF3C05" w:rsidRPr="00926541">
        <w:rPr>
          <w:sz w:val="22"/>
          <w:szCs w:val="22"/>
          <w:lang w:val="hr-HR"/>
        </w:rPr>
        <w:t xml:space="preserve"> kuharica</w:t>
      </w:r>
      <w:r w:rsidR="006D3002" w:rsidRPr="00926541">
        <w:rPr>
          <w:sz w:val="22"/>
          <w:szCs w:val="22"/>
          <w:lang w:val="hr-HR"/>
        </w:rPr>
        <w:t xml:space="preserve"> , </w:t>
      </w:r>
      <w:r w:rsidR="00CF3C05" w:rsidRPr="00926541">
        <w:rPr>
          <w:sz w:val="22"/>
          <w:szCs w:val="22"/>
          <w:lang w:val="hr-HR"/>
        </w:rPr>
        <w:t xml:space="preserve">na  poslovima </w:t>
      </w:r>
      <w:r w:rsidR="006D3002" w:rsidRPr="00926541">
        <w:rPr>
          <w:sz w:val="22"/>
          <w:szCs w:val="22"/>
          <w:lang w:val="hr-HR"/>
        </w:rPr>
        <w:t>održavanja</w:t>
      </w:r>
      <w:r w:rsidR="00CF3C05" w:rsidRPr="00926541">
        <w:rPr>
          <w:sz w:val="22"/>
          <w:szCs w:val="22"/>
          <w:lang w:val="hr-HR"/>
        </w:rPr>
        <w:t xml:space="preserve"> rade 3 domara</w:t>
      </w:r>
      <w:r w:rsidR="006D3002" w:rsidRPr="00926541">
        <w:rPr>
          <w:sz w:val="22"/>
          <w:szCs w:val="22"/>
          <w:lang w:val="hr-HR"/>
        </w:rPr>
        <w:t xml:space="preserve">, </w:t>
      </w:r>
      <w:r w:rsidR="00CF3C05" w:rsidRPr="00926541">
        <w:rPr>
          <w:sz w:val="22"/>
          <w:szCs w:val="22"/>
          <w:lang w:val="hr-HR"/>
        </w:rPr>
        <w:t>na poslovima pospremanja rade 2</w:t>
      </w:r>
      <w:r w:rsidR="007E0647">
        <w:rPr>
          <w:sz w:val="22"/>
          <w:szCs w:val="22"/>
          <w:lang w:val="hr-HR"/>
        </w:rPr>
        <w:t>3</w:t>
      </w:r>
      <w:r w:rsidR="00CF3C05" w:rsidRPr="00926541">
        <w:rPr>
          <w:sz w:val="22"/>
          <w:szCs w:val="22"/>
          <w:lang w:val="hr-HR"/>
        </w:rPr>
        <w:t xml:space="preserve"> spremačice, na poslovima</w:t>
      </w:r>
      <w:r w:rsidR="006D3002" w:rsidRPr="00926541">
        <w:rPr>
          <w:sz w:val="22"/>
          <w:szCs w:val="22"/>
          <w:lang w:val="hr-HR"/>
        </w:rPr>
        <w:t xml:space="preserve"> administrativno računovodstveni</w:t>
      </w:r>
      <w:r w:rsidR="00CF3C05" w:rsidRPr="00926541">
        <w:rPr>
          <w:sz w:val="22"/>
          <w:szCs w:val="22"/>
          <w:lang w:val="hr-HR"/>
        </w:rPr>
        <w:t>h</w:t>
      </w:r>
      <w:r w:rsidR="006D3002" w:rsidRPr="00926541">
        <w:rPr>
          <w:sz w:val="22"/>
          <w:szCs w:val="22"/>
          <w:lang w:val="hr-HR"/>
        </w:rPr>
        <w:t xml:space="preserve"> poslov</w:t>
      </w:r>
      <w:r w:rsidR="00CF3C05" w:rsidRPr="00926541">
        <w:rPr>
          <w:sz w:val="22"/>
          <w:szCs w:val="22"/>
          <w:lang w:val="hr-HR"/>
        </w:rPr>
        <w:t>a</w:t>
      </w:r>
      <w:r w:rsidR="006D3002" w:rsidRPr="00926541">
        <w:rPr>
          <w:sz w:val="22"/>
          <w:szCs w:val="22"/>
          <w:lang w:val="hr-HR"/>
        </w:rPr>
        <w:t xml:space="preserve"> rade </w:t>
      </w:r>
      <w:r w:rsidR="00CF3C05" w:rsidRPr="00926541">
        <w:rPr>
          <w:sz w:val="22"/>
          <w:szCs w:val="22"/>
          <w:lang w:val="hr-HR"/>
        </w:rPr>
        <w:t xml:space="preserve">1 tajnica, 1 voditeljica računovodstva i </w:t>
      </w:r>
      <w:r w:rsidR="004658A3">
        <w:rPr>
          <w:sz w:val="22"/>
          <w:szCs w:val="22"/>
          <w:lang w:val="hr-HR"/>
        </w:rPr>
        <w:t>2</w:t>
      </w:r>
      <w:r w:rsidR="00CF3C05" w:rsidRPr="00926541">
        <w:rPr>
          <w:sz w:val="22"/>
          <w:szCs w:val="22"/>
          <w:lang w:val="hr-HR"/>
        </w:rPr>
        <w:t xml:space="preserve"> administrativno računovodstvena radnika.</w:t>
      </w:r>
    </w:p>
    <w:p w14:paraId="79208F42" w14:textId="77777777" w:rsidR="00273F20" w:rsidRPr="00926541" w:rsidRDefault="00273F20" w:rsidP="00BD2E05">
      <w:pPr>
        <w:jc w:val="both"/>
        <w:rPr>
          <w:sz w:val="22"/>
          <w:szCs w:val="22"/>
          <w:lang w:val="hr-HR"/>
        </w:rPr>
      </w:pPr>
    </w:p>
    <w:p w14:paraId="7124CFE8" w14:textId="77777777" w:rsidR="004F67E9" w:rsidRPr="00926541" w:rsidRDefault="004F67E9" w:rsidP="00BD2E05">
      <w:pPr>
        <w:jc w:val="both"/>
        <w:rPr>
          <w:sz w:val="22"/>
          <w:szCs w:val="22"/>
          <w:lang w:val="hr-HR"/>
        </w:rPr>
      </w:pPr>
      <w:r w:rsidRPr="00926541">
        <w:rPr>
          <w:b/>
          <w:bCs/>
          <w:sz w:val="22"/>
          <w:szCs w:val="22"/>
          <w:lang w:val="hr-HR"/>
        </w:rPr>
        <w:t>Posebni program</w:t>
      </w:r>
      <w:r w:rsidRPr="00926541">
        <w:rPr>
          <w:sz w:val="22"/>
          <w:szCs w:val="22"/>
          <w:lang w:val="hr-HR"/>
        </w:rPr>
        <w:t xml:space="preserve"> provodi se u područnom vrtiću Punat i to kraći vjerski katolički program.</w:t>
      </w:r>
      <w:r w:rsidR="00C84F60" w:rsidRPr="00926541">
        <w:rPr>
          <w:sz w:val="22"/>
          <w:szCs w:val="22"/>
          <w:lang w:val="hr-HR"/>
        </w:rPr>
        <w:t xml:space="preserve"> U trajanju od 250 sati provodi se i program </w:t>
      </w:r>
      <w:proofErr w:type="spellStart"/>
      <w:r w:rsidR="00C84F60" w:rsidRPr="00926541">
        <w:rPr>
          <w:sz w:val="22"/>
          <w:szCs w:val="22"/>
          <w:lang w:val="hr-HR"/>
        </w:rPr>
        <w:t>predškole</w:t>
      </w:r>
      <w:proofErr w:type="spellEnd"/>
      <w:r w:rsidR="00C84F60" w:rsidRPr="00926541">
        <w:rPr>
          <w:sz w:val="22"/>
          <w:szCs w:val="22"/>
          <w:lang w:val="hr-HR"/>
        </w:rPr>
        <w:t xml:space="preserve"> za djecu u godini pred polazak u školu.</w:t>
      </w:r>
    </w:p>
    <w:p w14:paraId="0748166B" w14:textId="77777777" w:rsidR="004F67E9" w:rsidRPr="00926541" w:rsidRDefault="004F67E9" w:rsidP="00BD2E05">
      <w:pPr>
        <w:jc w:val="both"/>
        <w:rPr>
          <w:b/>
          <w:bCs/>
          <w:sz w:val="22"/>
          <w:szCs w:val="22"/>
          <w:lang w:val="hr-HR"/>
        </w:rPr>
      </w:pPr>
    </w:p>
    <w:p w14:paraId="7390AF7B" w14:textId="77777777" w:rsidR="00273F20" w:rsidRPr="00926541" w:rsidRDefault="00273F20" w:rsidP="00BD2E05">
      <w:pPr>
        <w:jc w:val="both"/>
        <w:rPr>
          <w:b/>
          <w:bCs/>
          <w:sz w:val="22"/>
          <w:szCs w:val="22"/>
          <w:lang w:val="hr-HR"/>
        </w:rPr>
      </w:pPr>
      <w:r w:rsidRPr="00926541">
        <w:rPr>
          <w:b/>
          <w:bCs/>
          <w:sz w:val="22"/>
          <w:szCs w:val="22"/>
          <w:lang w:val="hr-HR"/>
        </w:rPr>
        <w:t>Ciljevi programa</w:t>
      </w:r>
    </w:p>
    <w:p w14:paraId="10A8ECC2" w14:textId="77777777" w:rsidR="00BD2E05" w:rsidRDefault="00BD2E05" w:rsidP="00BD2E05">
      <w:pPr>
        <w:jc w:val="both"/>
        <w:rPr>
          <w:sz w:val="22"/>
          <w:szCs w:val="22"/>
          <w:lang w:val="hr-HR"/>
        </w:rPr>
      </w:pPr>
      <w:r w:rsidRPr="00926541">
        <w:rPr>
          <w:sz w:val="22"/>
          <w:szCs w:val="22"/>
          <w:lang w:val="hr-HR"/>
        </w:rPr>
        <w:t xml:space="preserve">Cilj odgojno- obrazovnog rada je ponuđenim sadržajima, aktivnostima, kvalitetnim i poticajnim prostornim i materijalnim okruženjem utjecati na cjeloviti rast i razvoj djece odnosno ostvarivati maksimalni razvojni napredak: </w:t>
      </w:r>
      <w:proofErr w:type="spellStart"/>
      <w:r w:rsidRPr="00926541">
        <w:rPr>
          <w:sz w:val="22"/>
          <w:szCs w:val="22"/>
          <w:lang w:val="hr-HR"/>
        </w:rPr>
        <w:t>socio</w:t>
      </w:r>
      <w:proofErr w:type="spellEnd"/>
      <w:r w:rsidRPr="00926541">
        <w:rPr>
          <w:sz w:val="22"/>
          <w:szCs w:val="22"/>
          <w:lang w:val="hr-HR"/>
        </w:rPr>
        <w:t xml:space="preserve">- emocionalni, tjelesni i kognitivni. </w:t>
      </w:r>
    </w:p>
    <w:p w14:paraId="3B8F97AF" w14:textId="77777777" w:rsidR="00625866" w:rsidRPr="00625866" w:rsidRDefault="00625866" w:rsidP="00625866">
      <w:pPr>
        <w:jc w:val="both"/>
        <w:rPr>
          <w:sz w:val="22"/>
          <w:szCs w:val="22"/>
          <w:lang w:val="hr-HR"/>
        </w:rPr>
      </w:pPr>
      <w:r w:rsidRPr="00625866">
        <w:rPr>
          <w:sz w:val="22"/>
          <w:szCs w:val="22"/>
          <w:lang w:val="hr-HR"/>
        </w:rPr>
        <w:t>Osnovna zadaća i cilj koji smo kontinuirano provodili tijekom čitave pedagoške godine jest  očuvanje i unapređenje zdravlja djece utječući na taj način na optimalni razvoj cjelovitog psiho-fizičkog stanja djece. Poticalo se i unapređivalo pravovremeno i kvalitetno zadovoljavanje razvojnih potreba svakog djeteta.</w:t>
      </w:r>
    </w:p>
    <w:p w14:paraId="0EBAD9D0" w14:textId="77777777" w:rsidR="001A0D85" w:rsidRPr="001A0D85" w:rsidRDefault="00625866" w:rsidP="001A0D85">
      <w:pPr>
        <w:jc w:val="both"/>
        <w:rPr>
          <w:sz w:val="22"/>
          <w:szCs w:val="22"/>
          <w:lang w:val="hr-HR"/>
        </w:rPr>
      </w:pPr>
      <w:r w:rsidRPr="00625866">
        <w:rPr>
          <w:sz w:val="22"/>
          <w:szCs w:val="22"/>
          <w:lang w:val="hr-HR"/>
        </w:rPr>
        <w:t>Prilikom upisa djeteta u vrtić proveden je inicijalni razgovor s roditeljima tijekom kojeg smo dobili uvid u zdravstveni i socijalni status svakog pojedinog djeteta. Za djecu alergičare i za djecu kod koje je dokazana intolerancija na određenu hranu sastavljeni su individualni jelovnici u dogovoru s roditeljima i kuharicama. Za pojedinu djecu odgojitelji su dobili i pismene upute kako postupati u slučaju pogoršanja bolesti, a roditelji su upućeni da svaku zdravstvenu promjenu kod djeteta obavezno jave odgojiteljima i zdravstvenoj voditeljici.</w:t>
      </w:r>
      <w:r w:rsidR="001A0D85" w:rsidRPr="001A0D85">
        <w:rPr>
          <w:sz w:val="22"/>
          <w:szCs w:val="22"/>
          <w:lang w:val="hr-HR"/>
        </w:rPr>
        <w:t xml:space="preserve"> U vrtiću se provodila i poticala zdrava prehrana u suradnji s Nastavnim zavodom za javno zdravstvo PGŽ. Također se vršila i kontrola prehrane i pripremljenih obroka. </w:t>
      </w:r>
    </w:p>
    <w:p w14:paraId="3142ADBF" w14:textId="77777777" w:rsidR="00625866" w:rsidRPr="00625866" w:rsidRDefault="00625866" w:rsidP="00625866">
      <w:pPr>
        <w:jc w:val="both"/>
        <w:rPr>
          <w:sz w:val="22"/>
          <w:szCs w:val="22"/>
          <w:lang w:val="hr-HR"/>
        </w:rPr>
      </w:pPr>
    </w:p>
    <w:p w14:paraId="6610402B" w14:textId="77777777" w:rsidR="00BD2E05" w:rsidRDefault="00BD2E05" w:rsidP="00BD2E05">
      <w:pPr>
        <w:jc w:val="both"/>
        <w:rPr>
          <w:sz w:val="22"/>
          <w:szCs w:val="22"/>
          <w:lang w:val="hr-HR"/>
        </w:rPr>
      </w:pPr>
      <w:r w:rsidRPr="00926541">
        <w:rPr>
          <w:sz w:val="22"/>
          <w:szCs w:val="22"/>
          <w:lang w:val="hr-HR"/>
        </w:rPr>
        <w:t xml:space="preserve">Bitna zadaća odgojno- obrazovnog rada: Sa ciljem osiguravanja kontinuiteta u odgojno-obrazovnom radu, nastavno na prošlogodišnju bitnu zadaću ove pedagoške godine unutar cjelovitog razvoja utjecali smo na razvoj socijalnih kompetencija: poticanje djeteta na odgovorno ponašanje, pozitivan i tolerantan odnos prema drugima, vršnjačku suradnju, uzajamno pomaganje i poštivanje. </w:t>
      </w:r>
    </w:p>
    <w:p w14:paraId="187A8BEA" w14:textId="77777777" w:rsidR="00BD2E05" w:rsidRPr="00926541" w:rsidRDefault="00BD2E05" w:rsidP="00BD2E05">
      <w:pPr>
        <w:jc w:val="both"/>
        <w:rPr>
          <w:sz w:val="22"/>
          <w:szCs w:val="22"/>
          <w:lang w:val="hr-HR"/>
        </w:rPr>
      </w:pPr>
      <w:r w:rsidRPr="00926541">
        <w:rPr>
          <w:sz w:val="22"/>
          <w:szCs w:val="22"/>
          <w:lang w:val="hr-HR"/>
        </w:rPr>
        <w:t xml:space="preserve">Nacionalni kurikulum polazi od shvaćanja djeteta kao socijalnog subjekta, tj. aktivnog </w:t>
      </w:r>
      <w:proofErr w:type="spellStart"/>
      <w:r w:rsidRPr="00926541">
        <w:rPr>
          <w:sz w:val="22"/>
          <w:szCs w:val="22"/>
          <w:lang w:val="hr-HR"/>
        </w:rPr>
        <w:t>sustvaratelja</w:t>
      </w:r>
      <w:proofErr w:type="spellEnd"/>
      <w:r w:rsidRPr="00926541">
        <w:rPr>
          <w:sz w:val="22"/>
          <w:szCs w:val="22"/>
          <w:lang w:val="hr-HR"/>
        </w:rPr>
        <w:t xml:space="preserve"> vlastitog razvoja, kulture, odgoja i učenja, koji aktivno sudjeluje u oblikovanju odgojno-obrazovnoga procesa. Vrtić se shvaća kao sustav međusobno prepletenih i recipročnih odnosa različitih socijalnih subjekata koji se poštuju i podržavaju.</w:t>
      </w:r>
    </w:p>
    <w:p w14:paraId="30563EC4" w14:textId="77777777" w:rsidR="00BD2E05" w:rsidRPr="00926541" w:rsidRDefault="00BD2E05" w:rsidP="00BD2E05">
      <w:pPr>
        <w:jc w:val="both"/>
        <w:rPr>
          <w:sz w:val="22"/>
          <w:szCs w:val="22"/>
          <w:lang w:val="hr-HR"/>
        </w:rPr>
      </w:pPr>
      <w:r w:rsidRPr="00926541">
        <w:rPr>
          <w:sz w:val="22"/>
          <w:szCs w:val="22"/>
          <w:lang w:val="hr-HR"/>
        </w:rPr>
        <w:t>Uvažavajući Kurikulum ranog i predškolskog odgoja koji razrađuje odgojne ciljeve i kompetencije u najboljem interesu djece, kao cilj navodimo osposobljavanje djece za demokratske odnose u vrtiću i društvu kroz:</w:t>
      </w:r>
    </w:p>
    <w:p w14:paraId="77B2A5DD" w14:textId="77777777" w:rsidR="00BD2E05" w:rsidRPr="00926541" w:rsidRDefault="00BD2E05" w:rsidP="00BD2E05">
      <w:pPr>
        <w:jc w:val="both"/>
        <w:rPr>
          <w:sz w:val="22"/>
          <w:szCs w:val="22"/>
          <w:lang w:val="hr-HR"/>
        </w:rPr>
      </w:pPr>
      <w:r w:rsidRPr="00926541">
        <w:rPr>
          <w:sz w:val="22"/>
          <w:szCs w:val="22"/>
          <w:lang w:val="hr-HR"/>
        </w:rPr>
        <w:t>Poticanje na iznošenje svojih stavova, stvaranje poticajnog socijalnog okruženja, uključivanje djece u donošenje odluka koje se odnose na njihovo življenje u vrtiću,</w:t>
      </w:r>
      <w:r w:rsidR="008A3208" w:rsidRPr="00926541">
        <w:rPr>
          <w:sz w:val="22"/>
          <w:szCs w:val="22"/>
          <w:lang w:val="hr-HR"/>
        </w:rPr>
        <w:t xml:space="preserve"> </w:t>
      </w:r>
      <w:r w:rsidRPr="00926541">
        <w:rPr>
          <w:sz w:val="22"/>
          <w:szCs w:val="22"/>
          <w:lang w:val="hr-HR"/>
        </w:rPr>
        <w:t>vrtić je mjesto kvalitetnih odnosa, suradnje i tolerancije ako se u njemu: osiguravaju prava djeci na jednakost, poštuje i prihvaća svaki oblik različitosti djece i njihovih obitelji, prihvaća subjektivitet svakog djeteta, razvijaju recipročni odnosi u ozračju povjerenja, djecu potiče na učenje socijalno prihvatljivog ponašanja, djecu potiče na samoprocjenu i ostvaruje fleksibilan pristup u oblikovanju odgojno- obrazovnog procesa.</w:t>
      </w:r>
    </w:p>
    <w:p w14:paraId="1B920620" w14:textId="77777777" w:rsidR="00BD2E05" w:rsidRPr="00926541" w:rsidRDefault="00BD2E05" w:rsidP="00BD2E05">
      <w:pPr>
        <w:jc w:val="both"/>
        <w:rPr>
          <w:sz w:val="22"/>
          <w:szCs w:val="22"/>
          <w:lang w:val="hr-HR"/>
        </w:rPr>
      </w:pPr>
    </w:p>
    <w:p w14:paraId="4C01B066" w14:textId="77777777" w:rsidR="00BD2E05" w:rsidRPr="00926541" w:rsidRDefault="00BD2E05" w:rsidP="00BD2E05">
      <w:pPr>
        <w:jc w:val="both"/>
        <w:rPr>
          <w:sz w:val="22"/>
          <w:szCs w:val="22"/>
          <w:lang w:val="hr-HR"/>
        </w:rPr>
      </w:pPr>
      <w:r w:rsidRPr="00926541">
        <w:rPr>
          <w:sz w:val="22"/>
          <w:szCs w:val="22"/>
          <w:lang w:val="hr-HR"/>
        </w:rPr>
        <w:t>U navedenom razvojnom području integrirane su slijedeće kompetencije: učiti kako učiti, istraživanje i razvijanje svijesti, komunikacijske, kreativne i umjetničke.</w:t>
      </w:r>
    </w:p>
    <w:p w14:paraId="77D90A6C" w14:textId="77777777" w:rsidR="00BD2E05" w:rsidRPr="00926541" w:rsidRDefault="00BD2E05" w:rsidP="00BD2E05">
      <w:pPr>
        <w:jc w:val="both"/>
        <w:rPr>
          <w:sz w:val="22"/>
          <w:szCs w:val="22"/>
          <w:lang w:val="hr-HR"/>
        </w:rPr>
      </w:pPr>
      <w:r w:rsidRPr="00926541">
        <w:rPr>
          <w:sz w:val="22"/>
          <w:szCs w:val="22"/>
          <w:lang w:val="hr-HR"/>
        </w:rPr>
        <w:t>Cilj je osiguranje dobrobiti za dijete; procesa kojim se integrira zdravo i uspješno individualno funkcioniranje sa pozitivnim socijalnim odnosima u kvalitetnom okruženju vrtića.</w:t>
      </w:r>
    </w:p>
    <w:p w14:paraId="5C71DB7A" w14:textId="7ECF8AF0" w:rsidR="00BD2E05" w:rsidRPr="00926541" w:rsidRDefault="00BD2E05" w:rsidP="00BD2E05">
      <w:pPr>
        <w:jc w:val="both"/>
        <w:rPr>
          <w:sz w:val="22"/>
          <w:szCs w:val="22"/>
          <w:lang w:val="hr-HR"/>
        </w:rPr>
      </w:pPr>
      <w:bookmarkStart w:id="7" w:name="_Toc83281881"/>
      <w:r w:rsidRPr="00926541">
        <w:rPr>
          <w:sz w:val="22"/>
          <w:szCs w:val="22"/>
          <w:lang w:val="hr-HR"/>
        </w:rPr>
        <w:t xml:space="preserve">U svakodnevni odgojno- obrazovni rad implementirani su kraći programi: </w:t>
      </w:r>
      <w:r w:rsidR="00625866">
        <w:rPr>
          <w:sz w:val="22"/>
          <w:szCs w:val="22"/>
          <w:lang w:val="hr-HR"/>
        </w:rPr>
        <w:t xml:space="preserve">eko-program, </w:t>
      </w:r>
      <w:r w:rsidRPr="00926541">
        <w:rPr>
          <w:sz w:val="22"/>
          <w:szCs w:val="22"/>
          <w:lang w:val="hr-HR"/>
        </w:rPr>
        <w:t>sigurnosno – zaštitni program</w:t>
      </w:r>
      <w:bookmarkEnd w:id="7"/>
      <w:r w:rsidRPr="00926541">
        <w:rPr>
          <w:sz w:val="22"/>
          <w:szCs w:val="22"/>
          <w:lang w:val="hr-HR"/>
        </w:rPr>
        <w:t xml:space="preserve">, program prevencije ovisnosti, </w:t>
      </w:r>
      <w:bookmarkStart w:id="8" w:name="_Toc83281882"/>
      <w:r w:rsidRPr="00926541">
        <w:rPr>
          <w:sz w:val="22"/>
          <w:szCs w:val="22"/>
          <w:lang w:val="hr-HR"/>
        </w:rPr>
        <w:t>program aktivnosti za sprječavanje nasilja među djecom i mladima</w:t>
      </w:r>
      <w:bookmarkEnd w:id="8"/>
      <w:r w:rsidRPr="00926541">
        <w:rPr>
          <w:sz w:val="22"/>
          <w:szCs w:val="22"/>
          <w:lang w:val="hr-HR"/>
        </w:rPr>
        <w:t xml:space="preserve">, </w:t>
      </w:r>
      <w:bookmarkStart w:id="9" w:name="_Toc83281883"/>
      <w:r w:rsidRPr="00926541">
        <w:rPr>
          <w:sz w:val="22"/>
          <w:szCs w:val="22"/>
          <w:lang w:val="hr-HR"/>
        </w:rPr>
        <w:t xml:space="preserve">program </w:t>
      </w:r>
      <w:proofErr w:type="spellStart"/>
      <w:r w:rsidRPr="00926541">
        <w:rPr>
          <w:sz w:val="22"/>
          <w:szCs w:val="22"/>
          <w:lang w:val="hr-HR"/>
        </w:rPr>
        <w:t>predškole</w:t>
      </w:r>
      <w:proofErr w:type="spellEnd"/>
      <w:r w:rsidRPr="00926541">
        <w:rPr>
          <w:sz w:val="22"/>
          <w:szCs w:val="22"/>
          <w:lang w:val="hr-HR"/>
        </w:rPr>
        <w:t xml:space="preserve"> u trajanju od 250 sati</w:t>
      </w:r>
      <w:bookmarkEnd w:id="9"/>
      <w:r w:rsidRPr="00926541">
        <w:rPr>
          <w:sz w:val="22"/>
          <w:szCs w:val="22"/>
          <w:lang w:val="hr-HR"/>
        </w:rPr>
        <w:t xml:space="preserve">, </w:t>
      </w:r>
      <w:bookmarkStart w:id="10" w:name="_Toc83281884"/>
      <w:r w:rsidRPr="00926541">
        <w:rPr>
          <w:sz w:val="22"/>
          <w:szCs w:val="22"/>
          <w:lang w:val="hr-HR"/>
        </w:rPr>
        <w:t>program katoličkog vjerskog odgoja u izvan</w:t>
      </w:r>
      <w:r w:rsidR="00E87226">
        <w:rPr>
          <w:sz w:val="22"/>
          <w:szCs w:val="22"/>
          <w:lang w:val="hr-HR"/>
        </w:rPr>
        <w:t xml:space="preserve"> </w:t>
      </w:r>
      <w:r w:rsidRPr="00926541">
        <w:rPr>
          <w:sz w:val="22"/>
          <w:szCs w:val="22"/>
          <w:lang w:val="hr-HR"/>
        </w:rPr>
        <w:t>obiteljskim uvjetima</w:t>
      </w:r>
      <w:bookmarkEnd w:id="10"/>
      <w:r w:rsidRPr="00926541">
        <w:rPr>
          <w:sz w:val="22"/>
          <w:szCs w:val="22"/>
          <w:lang w:val="hr-HR"/>
        </w:rPr>
        <w:t xml:space="preserve"> (u područn</w:t>
      </w:r>
      <w:r w:rsidR="009A4B90">
        <w:rPr>
          <w:sz w:val="22"/>
          <w:szCs w:val="22"/>
          <w:lang w:val="hr-HR"/>
        </w:rPr>
        <w:t xml:space="preserve">om </w:t>
      </w:r>
      <w:r w:rsidRPr="00926541">
        <w:rPr>
          <w:sz w:val="22"/>
          <w:szCs w:val="22"/>
          <w:lang w:val="hr-HR"/>
        </w:rPr>
        <w:t>vrtiću u Puntu).</w:t>
      </w:r>
    </w:p>
    <w:p w14:paraId="16FDB61C" w14:textId="77777777" w:rsidR="00BD2E05" w:rsidRPr="00926541" w:rsidRDefault="00BD2E05" w:rsidP="00BD2E05">
      <w:pPr>
        <w:jc w:val="both"/>
        <w:rPr>
          <w:sz w:val="22"/>
          <w:szCs w:val="22"/>
          <w:lang w:val="hr-HR"/>
        </w:rPr>
      </w:pPr>
    </w:p>
    <w:p w14:paraId="1E3FFB09" w14:textId="77777777" w:rsidR="00BD2E05" w:rsidRPr="00926541" w:rsidRDefault="00BD2E05" w:rsidP="008A3208">
      <w:pPr>
        <w:jc w:val="both"/>
        <w:rPr>
          <w:sz w:val="22"/>
          <w:szCs w:val="22"/>
          <w:lang w:val="hr-HR"/>
        </w:rPr>
      </w:pPr>
      <w:r w:rsidRPr="00926541">
        <w:rPr>
          <w:sz w:val="22"/>
          <w:szCs w:val="22"/>
          <w:lang w:val="hr-HR"/>
        </w:rPr>
        <w:t xml:space="preserve">Vezano uz eko- program, Vrtić je nastavio višegodišnju praksu oplemenjivanja i uređivanja vrtićkih vrtova i povrtnjaka te je na taj način omogućio djeci mnoge dobrobiti: boravak na zraku, stjecanje zdravih životnih navika (zdrava prehrana, kretanje), uzgajanje biljaka i briga o vrtu (radne navike i razna praktična znanja). </w:t>
      </w:r>
    </w:p>
    <w:p w14:paraId="178E37DA" w14:textId="77777777" w:rsidR="008A3208" w:rsidRDefault="00BD2E05" w:rsidP="008A3208">
      <w:pPr>
        <w:jc w:val="both"/>
        <w:rPr>
          <w:sz w:val="22"/>
          <w:szCs w:val="22"/>
          <w:lang w:val="hr-HR"/>
        </w:rPr>
      </w:pPr>
      <w:r w:rsidRPr="00926541">
        <w:rPr>
          <w:sz w:val="22"/>
          <w:szCs w:val="22"/>
          <w:lang w:val="hr-HR"/>
        </w:rPr>
        <w:lastRenderedPageBreak/>
        <w:t>I dalje se provodi pravilno odvajanje otpada u svakoj sobi dnevnog boravka te se vodi briga o racionalnom korištenju vode i električne energije.</w:t>
      </w:r>
    </w:p>
    <w:p w14:paraId="460166C9" w14:textId="77777777" w:rsidR="00AA7E9D" w:rsidRPr="00AA7E9D" w:rsidRDefault="00AA7E9D" w:rsidP="00AA7E9D">
      <w:pPr>
        <w:jc w:val="both"/>
        <w:rPr>
          <w:sz w:val="22"/>
          <w:szCs w:val="22"/>
          <w:lang w:val="hr-HR"/>
        </w:rPr>
      </w:pPr>
      <w:r w:rsidRPr="00AA7E9D">
        <w:rPr>
          <w:sz w:val="22"/>
          <w:szCs w:val="22"/>
          <w:lang w:val="hr-HR"/>
        </w:rPr>
        <w:t xml:space="preserve">Putem zdravstvenih aktivnosti odgojitelji su radili na bogaćenju spoznaja o navikama zdravog ponašanja. Svakodnevno su se zadovoljavale dječje potrebe za igrom i kretanjem sa ciljem pravilnog razvoja cjelokupne muskulature. Tjelesne aktivnosti provodile su se svakodnevno, na otvorenom i zatvorenom prostoru. Neki oblici tjelesne aktivnosti planiraju se i u sobi dnevnog boravka na način da se formiraju centri s poligonima ili na druge načine. Iskorištavaju se i drugi raspoloživi prostori vrtića koji do tada nisu bili u funkciji provođenja motoričkih aktivnosti. Vrtići koji imaju sportske dvorane svakodnevno su ih koristili, posebice u zimskim mjesecima. </w:t>
      </w:r>
    </w:p>
    <w:p w14:paraId="3ED0F686" w14:textId="42E97837" w:rsidR="00AA7E9D" w:rsidRPr="00AA7E9D" w:rsidRDefault="00AA7E9D" w:rsidP="00AA7E9D">
      <w:pPr>
        <w:jc w:val="both"/>
        <w:rPr>
          <w:sz w:val="22"/>
          <w:szCs w:val="22"/>
          <w:lang w:val="hr-HR"/>
        </w:rPr>
      </w:pPr>
      <w:r w:rsidRPr="00756047">
        <w:rPr>
          <w:sz w:val="22"/>
          <w:szCs w:val="22"/>
          <w:lang w:val="hr-HR"/>
        </w:rPr>
        <w:t>1</w:t>
      </w:r>
      <w:r w:rsidR="00F35378" w:rsidRPr="00756047">
        <w:rPr>
          <w:sz w:val="22"/>
          <w:szCs w:val="22"/>
          <w:lang w:val="hr-HR"/>
        </w:rPr>
        <w:t>2</w:t>
      </w:r>
      <w:r w:rsidRPr="00756047">
        <w:rPr>
          <w:sz w:val="22"/>
          <w:szCs w:val="22"/>
          <w:lang w:val="hr-HR"/>
        </w:rPr>
        <w:t xml:space="preserve">. </w:t>
      </w:r>
      <w:r w:rsidR="00F35378" w:rsidRPr="00756047">
        <w:rPr>
          <w:sz w:val="22"/>
          <w:szCs w:val="22"/>
          <w:lang w:val="hr-HR"/>
        </w:rPr>
        <w:t>travnja</w:t>
      </w:r>
      <w:r w:rsidRPr="00756047">
        <w:rPr>
          <w:sz w:val="22"/>
          <w:szCs w:val="22"/>
          <w:lang w:val="hr-HR"/>
        </w:rPr>
        <w:t xml:space="preserve"> 202</w:t>
      </w:r>
      <w:r w:rsidR="00F35378" w:rsidRPr="00756047">
        <w:rPr>
          <w:sz w:val="22"/>
          <w:szCs w:val="22"/>
          <w:lang w:val="hr-HR"/>
        </w:rPr>
        <w:t>5</w:t>
      </w:r>
      <w:r w:rsidRPr="00756047">
        <w:rPr>
          <w:sz w:val="22"/>
          <w:szCs w:val="22"/>
          <w:lang w:val="hr-HR"/>
        </w:rPr>
        <w:t xml:space="preserve">. godine </w:t>
      </w:r>
      <w:r w:rsidRPr="00AA7E9D">
        <w:rPr>
          <w:sz w:val="22"/>
          <w:szCs w:val="22"/>
          <w:lang w:val="hr-HR"/>
        </w:rPr>
        <w:t>sudjelovali smo na 2</w:t>
      </w:r>
      <w:r w:rsidR="00F35378">
        <w:rPr>
          <w:sz w:val="22"/>
          <w:szCs w:val="22"/>
          <w:lang w:val="hr-HR"/>
        </w:rPr>
        <w:t>1</w:t>
      </w:r>
      <w:r w:rsidRPr="00AA7E9D">
        <w:rPr>
          <w:sz w:val="22"/>
          <w:szCs w:val="22"/>
          <w:lang w:val="hr-HR"/>
        </w:rPr>
        <w:t xml:space="preserve">. Olimpijskom festivalu dječjih vrtića PGŽ-a. Domaćin je bio Dječji vrtić </w:t>
      </w:r>
      <w:r w:rsidR="00756047">
        <w:rPr>
          <w:sz w:val="22"/>
          <w:szCs w:val="22"/>
          <w:lang w:val="hr-HR"/>
        </w:rPr>
        <w:t xml:space="preserve">„Cvrčak“ </w:t>
      </w:r>
      <w:r w:rsidR="00F35378">
        <w:rPr>
          <w:sz w:val="22"/>
          <w:szCs w:val="22"/>
          <w:lang w:val="hr-HR"/>
        </w:rPr>
        <w:t>iz Malog Lošinja</w:t>
      </w:r>
      <w:r w:rsidRPr="00AA7E9D">
        <w:rPr>
          <w:sz w:val="22"/>
          <w:szCs w:val="22"/>
          <w:lang w:val="hr-HR"/>
        </w:rPr>
        <w:t xml:space="preserve">. Četrdeset djece „Katarine Frankopan“ natjecalo se s drugim vrtićima u sljedećim disciplinama: trčanju na 50 metara, trčanju štafete, bacanju loptice u dalj s mjesta, skoku u dalj s mjesta, povlačenju konopa i malom nogometu. U ukupnom poretku osvojili smo </w:t>
      </w:r>
      <w:r w:rsidR="00756047">
        <w:rPr>
          <w:sz w:val="22"/>
          <w:szCs w:val="22"/>
          <w:lang w:val="hr-HR"/>
        </w:rPr>
        <w:t>10</w:t>
      </w:r>
      <w:r w:rsidRPr="00AA7E9D">
        <w:rPr>
          <w:sz w:val="22"/>
          <w:szCs w:val="22"/>
          <w:lang w:val="hr-HR"/>
        </w:rPr>
        <w:t xml:space="preserve">. mjesto. </w:t>
      </w:r>
    </w:p>
    <w:p w14:paraId="718E53C9" w14:textId="175FE3B0" w:rsidR="00BD2E05" w:rsidRPr="009A4B90" w:rsidRDefault="00BD2E05" w:rsidP="00BD2E05">
      <w:pPr>
        <w:jc w:val="both"/>
        <w:rPr>
          <w:sz w:val="22"/>
          <w:szCs w:val="22"/>
          <w:lang w:val="hr-HR"/>
        </w:rPr>
      </w:pPr>
      <w:r w:rsidRPr="00926541">
        <w:rPr>
          <w:sz w:val="22"/>
          <w:szCs w:val="22"/>
          <w:lang w:val="hr-HR"/>
        </w:rPr>
        <w:t>Pedagoška dokumentacija vodi se sukladno Pravilniku, a obavezna dokumentacija obuhvaća: Matičnu knjig</w:t>
      </w:r>
      <w:r w:rsidR="00735621">
        <w:rPr>
          <w:sz w:val="22"/>
          <w:szCs w:val="22"/>
          <w:lang w:val="hr-HR"/>
        </w:rPr>
        <w:t>u</w:t>
      </w:r>
      <w:r w:rsidRPr="00926541">
        <w:rPr>
          <w:sz w:val="22"/>
          <w:szCs w:val="22"/>
          <w:lang w:val="hr-HR"/>
        </w:rPr>
        <w:t xml:space="preserve"> djece, Imenik djece, Knjigu pedagoške dokumentacije odgojne skupine, Ljetopis dječjeg vrtića, Knjigu zapisnika, Evidenciju realizacije stručnog usavršavanja, Godišnji plan i program odgojno-obrazovnog rada, Godišnje izvješće odgojno- obrazovnog rada, Dosje djeteta s posebnim potrebama, Listu praćenja razvoja i postignuća djeteta, ostalu internu dokumentaciju (evidencija sati prema strukturi radnog vremena, upisni materijal, dokumentacija o stvaralaštvu djece, bilješke, uradci, foto i video zapisi i sl.).</w:t>
      </w:r>
      <w:r w:rsidR="00D11309" w:rsidRPr="00926541">
        <w:rPr>
          <w:sz w:val="22"/>
          <w:szCs w:val="22"/>
          <w:lang w:val="hr-HR"/>
        </w:rPr>
        <w:t xml:space="preserve"> </w:t>
      </w:r>
      <w:r w:rsidRPr="00926541">
        <w:rPr>
          <w:sz w:val="22"/>
          <w:szCs w:val="22"/>
          <w:lang w:val="hr-HR"/>
        </w:rPr>
        <w:t>Stručno usavršavanje odgojitelja i stručnih suradnika odvijalo se sukladno Godišnjem planu i programu Ustanove za pedagošku godinu 202</w:t>
      </w:r>
      <w:r w:rsidR="00F35378">
        <w:rPr>
          <w:sz w:val="22"/>
          <w:szCs w:val="22"/>
          <w:lang w:val="hr-HR"/>
        </w:rPr>
        <w:t>4</w:t>
      </w:r>
      <w:r w:rsidRPr="00926541">
        <w:rPr>
          <w:sz w:val="22"/>
          <w:szCs w:val="22"/>
          <w:lang w:val="hr-HR"/>
        </w:rPr>
        <w:t>./202</w:t>
      </w:r>
      <w:r w:rsidR="00F35378">
        <w:rPr>
          <w:sz w:val="22"/>
          <w:szCs w:val="22"/>
          <w:lang w:val="hr-HR"/>
        </w:rPr>
        <w:t>5</w:t>
      </w:r>
      <w:r w:rsidRPr="00926541">
        <w:rPr>
          <w:sz w:val="22"/>
          <w:szCs w:val="22"/>
          <w:lang w:val="hr-HR"/>
        </w:rPr>
        <w:t xml:space="preserve">. Sve planirane edukacije su realizirane, a većinom </w:t>
      </w:r>
      <w:r w:rsidRPr="009A4B90">
        <w:rPr>
          <w:sz w:val="22"/>
          <w:szCs w:val="22"/>
          <w:lang w:val="hr-HR"/>
        </w:rPr>
        <w:t>su se odvijale putem platformi (on- line). Stručno usavršavanje vodi se na obrascu „Program stručnog usavršavanja“.</w:t>
      </w:r>
    </w:p>
    <w:p w14:paraId="7C312F71" w14:textId="77777777" w:rsidR="0058219B" w:rsidRPr="009A4B90" w:rsidRDefault="0058219B" w:rsidP="0058219B">
      <w:pPr>
        <w:jc w:val="both"/>
        <w:rPr>
          <w:sz w:val="22"/>
          <w:szCs w:val="22"/>
          <w:lang w:val="hr-HR"/>
        </w:rPr>
      </w:pPr>
      <w:r w:rsidRPr="009A4B90">
        <w:rPr>
          <w:sz w:val="22"/>
          <w:szCs w:val="22"/>
          <w:lang w:val="hr-HR"/>
        </w:rPr>
        <w:t>U odnosu na bitnu zadaću odgojno-obrazovnog rada  svaka</w:t>
      </w:r>
      <w:r w:rsidR="00625866" w:rsidRPr="009A4B90">
        <w:rPr>
          <w:sz w:val="22"/>
          <w:szCs w:val="22"/>
          <w:lang w:val="hr-HR"/>
        </w:rPr>
        <w:t xml:space="preserve"> je</w:t>
      </w:r>
      <w:r w:rsidRPr="009A4B90">
        <w:rPr>
          <w:sz w:val="22"/>
          <w:szCs w:val="22"/>
          <w:lang w:val="hr-HR"/>
        </w:rPr>
        <w:t xml:space="preserve"> odgojna skupina postavila i bitne ciljeve u suradnji s roditeljima. Tijekom godine, u okviru orijentacijskih planova odgojno-obrazovnog rada, na temelju praćenja aktualnih potreba djece i roditelja su se postavile specifične zadaće i oblici suradnje s roditeljima.</w:t>
      </w:r>
    </w:p>
    <w:p w14:paraId="05F5F1C6" w14:textId="77777777" w:rsidR="0058219B" w:rsidRPr="009A4B90" w:rsidRDefault="0058219B" w:rsidP="0058219B">
      <w:pPr>
        <w:jc w:val="both"/>
        <w:rPr>
          <w:sz w:val="22"/>
          <w:szCs w:val="22"/>
          <w:lang w:val="hr-HR"/>
        </w:rPr>
      </w:pPr>
      <w:r w:rsidRPr="009A4B90">
        <w:rPr>
          <w:sz w:val="22"/>
          <w:szCs w:val="22"/>
          <w:lang w:val="hr-HR"/>
        </w:rPr>
        <w:t xml:space="preserve">Neki su odgojiteljski timovi, u dogovoru s roditeljima, komunicirali putem društvenih mreža, razmjenjujući na taj način informacije o aktivnostima u grupi i ostalim događanjima na nivou ustanove. U izvješćima odgojitelja naglašava se funkcija oglasnih ploča za roditelje, odnosno tzv. zidnih novina putem kojih su roditelji bili informirani o aktivnostima koje su se provodile u skupini, izjavama djece, fotografijama djece u aktivnostima, pozivom za sudjelovanjem na način donošenja neoblikovanog i ostalog materijala potrebnog za aktivnosti, odnosno opremanje specifičnih, tematskih centara u skupini. </w:t>
      </w:r>
    </w:p>
    <w:p w14:paraId="4748E5D0" w14:textId="5391DC91" w:rsidR="0058219B" w:rsidRPr="009A4B90" w:rsidRDefault="0058219B" w:rsidP="00735621">
      <w:pPr>
        <w:ind w:right="-2"/>
        <w:jc w:val="both"/>
        <w:rPr>
          <w:sz w:val="22"/>
          <w:szCs w:val="22"/>
          <w:lang w:val="hr-HR"/>
        </w:rPr>
      </w:pPr>
      <w:r w:rsidRPr="009A4B90">
        <w:rPr>
          <w:sz w:val="22"/>
          <w:szCs w:val="22"/>
          <w:lang w:val="hr-HR"/>
        </w:rPr>
        <w:t xml:space="preserve">Odgojitelji su na mjesečnoj bazi osigurali termin za individualne razgovore s roditeljima, a na oglasnim pločama izmjenjivali članke vezane uz zdravlje, psihomotorni razvoj djeteta rane i predškolske dobi, teme o odgoju, teme vezane uz aktivnosti koje se provode u skupini i sl. s osnovnim ciljem informiranja i pružanja podrške roditeljskoj ulozi i osiguranja potrebne potpore cjelovitom razvoju djeteta.                                                                                                   </w:t>
      </w:r>
    </w:p>
    <w:p w14:paraId="52A52ED5" w14:textId="77777777" w:rsidR="0058219B" w:rsidRPr="009A4B90" w:rsidRDefault="0058219B" w:rsidP="0058219B">
      <w:pPr>
        <w:jc w:val="both"/>
        <w:rPr>
          <w:sz w:val="22"/>
          <w:szCs w:val="22"/>
          <w:lang w:val="hr-HR"/>
        </w:rPr>
      </w:pPr>
      <w:r w:rsidRPr="009A4B90">
        <w:rPr>
          <w:sz w:val="22"/>
          <w:szCs w:val="22"/>
          <w:lang w:val="hr-HR"/>
        </w:rPr>
        <w:t>Na web stranici vrtića su postavljeni termini i kontakti za individualne razgovore s roditeljima.</w:t>
      </w:r>
    </w:p>
    <w:p w14:paraId="26028C27" w14:textId="77777777" w:rsidR="0058219B" w:rsidRDefault="0058219B" w:rsidP="00BD2E05">
      <w:pPr>
        <w:jc w:val="both"/>
        <w:rPr>
          <w:sz w:val="22"/>
          <w:szCs w:val="22"/>
          <w:lang w:val="hr-HR"/>
        </w:rPr>
      </w:pPr>
    </w:p>
    <w:p w14:paraId="4AC787CA" w14:textId="2A2D78A2" w:rsidR="00BD2E05" w:rsidRPr="00926541" w:rsidRDefault="00BD2E05" w:rsidP="00BD2E05">
      <w:pPr>
        <w:jc w:val="both"/>
        <w:rPr>
          <w:sz w:val="22"/>
          <w:szCs w:val="22"/>
          <w:lang w:val="hr-HR"/>
        </w:rPr>
      </w:pPr>
      <w:r w:rsidRPr="00926541">
        <w:rPr>
          <w:sz w:val="22"/>
          <w:szCs w:val="22"/>
          <w:lang w:val="hr-HR"/>
        </w:rPr>
        <w:t>Sa ciljem vrednovanja rada vrtića i kvalitetnije suradnje s roditeljima, vrtić je u 202</w:t>
      </w:r>
      <w:r w:rsidR="00756047">
        <w:rPr>
          <w:sz w:val="22"/>
          <w:szCs w:val="22"/>
          <w:lang w:val="hr-HR"/>
        </w:rPr>
        <w:t>5</w:t>
      </w:r>
      <w:r w:rsidRPr="00926541">
        <w:rPr>
          <w:sz w:val="22"/>
          <w:szCs w:val="22"/>
          <w:lang w:val="hr-HR"/>
        </w:rPr>
        <w:t>. godin</w:t>
      </w:r>
      <w:r w:rsidR="00996404">
        <w:rPr>
          <w:sz w:val="22"/>
          <w:szCs w:val="22"/>
          <w:lang w:val="hr-HR"/>
        </w:rPr>
        <w:t>i</w:t>
      </w:r>
      <w:r w:rsidRPr="00926541">
        <w:rPr>
          <w:sz w:val="22"/>
          <w:szCs w:val="22"/>
          <w:lang w:val="hr-HR"/>
        </w:rPr>
        <w:t xml:space="preserve"> proveo on-line anketu kojom se ispitivalo zadovoljstvo roditelja međusobnom suradnjom i radom vrtića. Rezultati pokazuju visoku razinu zadovoljstva roditelja radom vrtića, a navedene sugestije i primjedbe uzet će se u obzir prilikom planiranja daljnjeg odgojno- obrazovnog rada. </w:t>
      </w:r>
    </w:p>
    <w:p w14:paraId="63B11F21" w14:textId="77777777" w:rsidR="00BD2E05" w:rsidRDefault="00BD2E05" w:rsidP="00BD2E05">
      <w:pPr>
        <w:jc w:val="both"/>
        <w:rPr>
          <w:sz w:val="22"/>
          <w:szCs w:val="22"/>
          <w:lang w:val="hr-HR"/>
        </w:rPr>
      </w:pPr>
      <w:r w:rsidRPr="00926541">
        <w:rPr>
          <w:sz w:val="22"/>
          <w:szCs w:val="22"/>
          <w:lang w:val="hr-HR"/>
        </w:rPr>
        <w:t xml:space="preserve">Odgojiteljsko vijeće Vrtića sjednice je održavalo sukladno Godišnjem planu i programu Ustanove, a Upravno vijeće Vrtića sjednice održava redovito te obavlja zadaće i poslove utvrđene Zakonom o ustanovama, Zakonom o predškolskom odgoju i obrazovanju, Statutom Vrtića i ostalim propisima i aktima. </w:t>
      </w:r>
    </w:p>
    <w:p w14:paraId="25C65716" w14:textId="77777777" w:rsidR="003A07A0" w:rsidRPr="00926541" w:rsidRDefault="003A07A0" w:rsidP="00BD2E05">
      <w:pPr>
        <w:jc w:val="both"/>
        <w:rPr>
          <w:sz w:val="22"/>
          <w:szCs w:val="22"/>
          <w:lang w:val="hr-HR"/>
        </w:rPr>
      </w:pPr>
    </w:p>
    <w:p w14:paraId="44EC90CF" w14:textId="4DB508DB" w:rsidR="00925743" w:rsidRPr="00C820F4" w:rsidRDefault="00925743" w:rsidP="00925743">
      <w:pPr>
        <w:rPr>
          <w:lang w:val="hr-HR"/>
        </w:rPr>
      </w:pPr>
      <w:r w:rsidRPr="00C820F4">
        <w:rPr>
          <w:lang w:val="hr-HR"/>
        </w:rPr>
        <w:t>K</w:t>
      </w:r>
      <w:r w:rsidR="00043AA3" w:rsidRPr="00C820F4">
        <w:rPr>
          <w:lang w:val="hr-HR"/>
        </w:rPr>
        <w:t>LASA</w:t>
      </w:r>
      <w:r w:rsidRPr="00C820F4">
        <w:rPr>
          <w:lang w:val="hr-HR"/>
        </w:rPr>
        <w:t xml:space="preserve">: </w:t>
      </w:r>
      <w:r w:rsidR="00BA1C04" w:rsidRPr="00C820F4">
        <w:rPr>
          <w:lang w:val="hr-HR"/>
        </w:rPr>
        <w:t>400-0</w:t>
      </w:r>
      <w:r w:rsidR="00D94F61">
        <w:rPr>
          <w:lang w:val="hr-HR"/>
        </w:rPr>
        <w:t>4</w:t>
      </w:r>
      <w:r w:rsidR="00BA1C04" w:rsidRPr="00C820F4">
        <w:rPr>
          <w:lang w:val="hr-HR"/>
        </w:rPr>
        <w:t>/2</w:t>
      </w:r>
      <w:r w:rsidR="00552AB6">
        <w:rPr>
          <w:lang w:val="hr-HR"/>
        </w:rPr>
        <w:t>5</w:t>
      </w:r>
      <w:r w:rsidR="00BA1C04" w:rsidRPr="00C820F4">
        <w:rPr>
          <w:lang w:val="hr-HR"/>
        </w:rPr>
        <w:t>-01/</w:t>
      </w:r>
      <w:r w:rsidR="007D6DCB">
        <w:rPr>
          <w:lang w:val="hr-HR"/>
        </w:rPr>
        <w:t>4</w:t>
      </w:r>
    </w:p>
    <w:p w14:paraId="427C38B4" w14:textId="54D3894B" w:rsidR="00925743" w:rsidRPr="00C820F4" w:rsidRDefault="00925743" w:rsidP="00925743">
      <w:pPr>
        <w:rPr>
          <w:lang w:val="hr-HR"/>
        </w:rPr>
      </w:pPr>
      <w:r w:rsidRPr="00C820F4">
        <w:rPr>
          <w:lang w:val="hr-HR"/>
        </w:rPr>
        <w:t>U</w:t>
      </w:r>
      <w:r w:rsidR="00043AA3" w:rsidRPr="00C820F4">
        <w:rPr>
          <w:lang w:val="hr-HR"/>
        </w:rPr>
        <w:t>R</w:t>
      </w:r>
      <w:r w:rsidRPr="00C820F4">
        <w:rPr>
          <w:lang w:val="hr-HR"/>
        </w:rPr>
        <w:t xml:space="preserve">. </w:t>
      </w:r>
      <w:r w:rsidR="00043AA3" w:rsidRPr="00C820F4">
        <w:rPr>
          <w:lang w:val="hr-HR"/>
        </w:rPr>
        <w:t>BROJ</w:t>
      </w:r>
      <w:r w:rsidRPr="00C820F4">
        <w:rPr>
          <w:lang w:val="hr-HR"/>
        </w:rPr>
        <w:t xml:space="preserve">: </w:t>
      </w:r>
      <w:r w:rsidR="00BA1C04" w:rsidRPr="00C820F4">
        <w:rPr>
          <w:lang w:val="hr-HR"/>
        </w:rPr>
        <w:t>2142</w:t>
      </w:r>
      <w:r w:rsidR="00C473E8" w:rsidRPr="00C820F4">
        <w:rPr>
          <w:lang w:val="hr-HR"/>
        </w:rPr>
        <w:t>-</w:t>
      </w:r>
      <w:r w:rsidR="00BA1C04" w:rsidRPr="00C820F4">
        <w:rPr>
          <w:lang w:val="hr-HR"/>
        </w:rPr>
        <w:t>1-16-01-2</w:t>
      </w:r>
      <w:r w:rsidR="00552AB6">
        <w:rPr>
          <w:lang w:val="hr-HR"/>
        </w:rPr>
        <w:t>5</w:t>
      </w:r>
      <w:r w:rsidR="0078385C" w:rsidRPr="00C820F4">
        <w:rPr>
          <w:lang w:val="hr-HR"/>
        </w:rPr>
        <w:t>-1</w:t>
      </w:r>
    </w:p>
    <w:p w14:paraId="3298339F" w14:textId="65233616" w:rsidR="00925743" w:rsidRPr="00C820F4" w:rsidRDefault="0078385C" w:rsidP="00925743">
      <w:pPr>
        <w:rPr>
          <w:lang w:val="hr-HR"/>
        </w:rPr>
      </w:pPr>
      <w:r w:rsidRPr="00C820F4">
        <w:rPr>
          <w:lang w:val="hr-HR"/>
        </w:rPr>
        <w:t xml:space="preserve">Krk, </w:t>
      </w:r>
      <w:r w:rsidR="00552AB6">
        <w:rPr>
          <w:lang w:val="hr-HR"/>
        </w:rPr>
        <w:t>2</w:t>
      </w:r>
      <w:r w:rsidR="007D6DCB">
        <w:rPr>
          <w:lang w:val="hr-HR"/>
        </w:rPr>
        <w:t>3</w:t>
      </w:r>
      <w:r w:rsidR="00925743" w:rsidRPr="00C820F4">
        <w:rPr>
          <w:lang w:val="hr-HR"/>
        </w:rPr>
        <w:t>.</w:t>
      </w:r>
      <w:r w:rsidR="00550D5E" w:rsidRPr="00C820F4">
        <w:rPr>
          <w:lang w:val="hr-HR"/>
        </w:rPr>
        <w:t>srpnja</w:t>
      </w:r>
      <w:r w:rsidR="005C4929" w:rsidRPr="00C820F4">
        <w:rPr>
          <w:lang w:val="hr-HR"/>
        </w:rPr>
        <w:t xml:space="preserve"> </w:t>
      </w:r>
      <w:r w:rsidR="00BA1C04" w:rsidRPr="00C820F4">
        <w:rPr>
          <w:lang w:val="hr-HR"/>
        </w:rPr>
        <w:t>202</w:t>
      </w:r>
      <w:r w:rsidR="00552AB6">
        <w:rPr>
          <w:lang w:val="hr-HR"/>
        </w:rPr>
        <w:t>5</w:t>
      </w:r>
      <w:r w:rsidR="00925743" w:rsidRPr="00C820F4">
        <w:rPr>
          <w:lang w:val="hr-HR"/>
        </w:rPr>
        <w:t>.</w:t>
      </w:r>
    </w:p>
    <w:p w14:paraId="140139A0" w14:textId="77777777" w:rsidR="005C069F" w:rsidRPr="00C820F4" w:rsidRDefault="005C069F" w:rsidP="00925743">
      <w:pPr>
        <w:jc w:val="both"/>
        <w:rPr>
          <w:rFonts w:ascii="Bookman Old Style" w:hAnsi="Bookman Old Style"/>
          <w:lang w:val="hr-HR"/>
        </w:rPr>
      </w:pPr>
    </w:p>
    <w:p w14:paraId="0E0C60F5" w14:textId="439ED78D" w:rsidR="00513D56" w:rsidRPr="00AB4AB1" w:rsidRDefault="00364A93" w:rsidP="00513D56">
      <w:pPr>
        <w:jc w:val="both"/>
        <w:rPr>
          <w:lang w:val="hr-HR"/>
        </w:rPr>
      </w:pPr>
      <w:r>
        <w:rPr>
          <w:lang w:val="hr-HR"/>
        </w:rPr>
        <w:t>SASTAVILA:</w:t>
      </w:r>
      <w:r w:rsidR="007847CB">
        <w:rPr>
          <w:lang w:val="hr-HR"/>
        </w:rPr>
        <w:t xml:space="preserve">            </w:t>
      </w:r>
      <w:r w:rsidR="00513D56" w:rsidRPr="00AB4AB1">
        <w:rPr>
          <w:lang w:val="hr-HR"/>
        </w:rPr>
        <w:t xml:space="preserve">         </w:t>
      </w:r>
      <w:r>
        <w:rPr>
          <w:lang w:val="hr-HR"/>
        </w:rPr>
        <w:t xml:space="preserve">  </w:t>
      </w:r>
      <w:r w:rsidR="00513D56" w:rsidRPr="00AB4AB1">
        <w:rPr>
          <w:lang w:val="hr-HR"/>
        </w:rPr>
        <w:t xml:space="preserve">  </w:t>
      </w:r>
      <w:r w:rsidR="009A4B90">
        <w:rPr>
          <w:lang w:val="hr-HR"/>
        </w:rPr>
        <w:t xml:space="preserve">                                 </w:t>
      </w:r>
      <w:r>
        <w:rPr>
          <w:lang w:val="hr-HR"/>
        </w:rPr>
        <w:t xml:space="preserve">   </w:t>
      </w:r>
      <w:r w:rsidR="00513D56" w:rsidRPr="00AB4AB1">
        <w:rPr>
          <w:lang w:val="hr-HR"/>
        </w:rPr>
        <w:t xml:space="preserve">  </w:t>
      </w:r>
      <w:r>
        <w:rPr>
          <w:lang w:val="hr-HR"/>
        </w:rPr>
        <w:t>RAVNATELJICA</w:t>
      </w:r>
      <w:r w:rsidR="00513D56" w:rsidRPr="00AB4AB1">
        <w:rPr>
          <w:lang w:val="hr-HR"/>
        </w:rPr>
        <w:t>:</w:t>
      </w:r>
    </w:p>
    <w:p w14:paraId="0BF04277" w14:textId="77777777" w:rsidR="003B405D" w:rsidRDefault="00364A93" w:rsidP="00DB4C86">
      <w:pPr>
        <w:jc w:val="both"/>
        <w:rPr>
          <w:lang w:val="hr-HR"/>
        </w:rPr>
      </w:pPr>
      <w:r>
        <w:rPr>
          <w:lang w:val="hr-HR"/>
        </w:rPr>
        <w:t>Pavica</w:t>
      </w:r>
      <w:r w:rsidR="00DD43BC" w:rsidRPr="00AB4AB1">
        <w:rPr>
          <w:lang w:val="hr-HR"/>
        </w:rPr>
        <w:t xml:space="preserve">  </w:t>
      </w:r>
      <w:r>
        <w:rPr>
          <w:lang w:val="hr-HR"/>
        </w:rPr>
        <w:t>Radić</w:t>
      </w:r>
      <w:r w:rsidR="00DD43BC" w:rsidRPr="00AB4AB1">
        <w:rPr>
          <w:lang w:val="hr-HR"/>
        </w:rPr>
        <w:t xml:space="preserve"> </w:t>
      </w:r>
      <w:r w:rsidR="00DB335B" w:rsidRPr="00AB4AB1">
        <w:rPr>
          <w:lang w:val="hr-HR"/>
        </w:rPr>
        <w:t xml:space="preserve">    </w:t>
      </w:r>
      <w:r w:rsidR="007847CB">
        <w:rPr>
          <w:lang w:val="hr-HR"/>
        </w:rPr>
        <w:t xml:space="preserve">                    </w:t>
      </w:r>
      <w:r w:rsidR="00EE2336" w:rsidRPr="00AB4AB1">
        <w:rPr>
          <w:lang w:val="hr-HR"/>
        </w:rPr>
        <w:t xml:space="preserve">           </w:t>
      </w:r>
      <w:r w:rsidR="00513D56" w:rsidRPr="00AB4AB1">
        <w:rPr>
          <w:lang w:val="hr-HR"/>
        </w:rPr>
        <w:t xml:space="preserve">                       </w:t>
      </w:r>
      <w:r>
        <w:rPr>
          <w:lang w:val="hr-HR"/>
        </w:rPr>
        <w:t xml:space="preserve">     </w:t>
      </w:r>
      <w:r w:rsidR="00513D56" w:rsidRPr="00AB4AB1">
        <w:rPr>
          <w:lang w:val="hr-HR"/>
        </w:rPr>
        <w:t xml:space="preserve"> Irena Žic-</w:t>
      </w:r>
      <w:proofErr w:type="spellStart"/>
      <w:r w:rsidR="00513D56" w:rsidRPr="00AB4AB1">
        <w:rPr>
          <w:lang w:val="hr-HR"/>
        </w:rPr>
        <w:t>Orlić</w:t>
      </w:r>
      <w:r w:rsidR="00043AA3">
        <w:rPr>
          <w:lang w:val="hr-HR"/>
        </w:rPr>
        <w:t>,univ.mag.praesc.educ</w:t>
      </w:r>
      <w:proofErr w:type="spellEnd"/>
      <w:r w:rsidR="00043AA3">
        <w:rPr>
          <w:lang w:val="hr-HR"/>
        </w:rPr>
        <w:t>.</w:t>
      </w:r>
    </w:p>
    <w:sectPr w:rsidR="003B405D" w:rsidSect="00AA292A">
      <w:footerReference w:type="even" r:id="rId13"/>
      <w:footerReference w:type="default" r:id="rId14"/>
      <w:pgSz w:w="11906" w:h="16838" w:code="9"/>
      <w:pgMar w:top="851" w:right="1134"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379DB" w14:textId="77777777" w:rsidR="00F765E0" w:rsidRDefault="00F765E0">
      <w:r>
        <w:separator/>
      </w:r>
    </w:p>
  </w:endnote>
  <w:endnote w:type="continuationSeparator" w:id="0">
    <w:p w14:paraId="752775DE" w14:textId="77777777" w:rsidR="00F765E0" w:rsidRDefault="00F7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74FD" w14:textId="77777777" w:rsidR="00285BD4" w:rsidRDefault="00285BD4" w:rsidP="00E7012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6AFCF79" w14:textId="77777777" w:rsidR="00285BD4" w:rsidRDefault="00285B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3E0C" w14:textId="77777777" w:rsidR="00285BD4" w:rsidRPr="00CA13BF" w:rsidRDefault="00285BD4" w:rsidP="00510190">
    <w:pPr>
      <w:pStyle w:val="Podnoje"/>
      <w:framePr w:wrap="around" w:vAnchor="text" w:hAnchor="margin" w:xAlign="center" w:y="1"/>
      <w:rPr>
        <w:rStyle w:val="Brojstranice"/>
        <w:sz w:val="20"/>
        <w:szCs w:val="20"/>
      </w:rPr>
    </w:pPr>
    <w:r w:rsidRPr="00CA13BF">
      <w:rPr>
        <w:rStyle w:val="Brojstranice"/>
        <w:sz w:val="20"/>
        <w:szCs w:val="20"/>
      </w:rPr>
      <w:fldChar w:fldCharType="begin"/>
    </w:r>
    <w:r w:rsidRPr="00CA13BF">
      <w:rPr>
        <w:rStyle w:val="Brojstranice"/>
        <w:sz w:val="20"/>
        <w:szCs w:val="20"/>
      </w:rPr>
      <w:instrText xml:space="preserve">PAGE  </w:instrText>
    </w:r>
    <w:r w:rsidRPr="00CA13BF">
      <w:rPr>
        <w:rStyle w:val="Brojstranice"/>
        <w:sz w:val="20"/>
        <w:szCs w:val="20"/>
      </w:rPr>
      <w:fldChar w:fldCharType="separate"/>
    </w:r>
    <w:r w:rsidR="00C42770">
      <w:rPr>
        <w:rStyle w:val="Brojstranice"/>
        <w:noProof/>
        <w:sz w:val="20"/>
        <w:szCs w:val="20"/>
      </w:rPr>
      <w:t>6</w:t>
    </w:r>
    <w:r w:rsidRPr="00CA13BF">
      <w:rPr>
        <w:rStyle w:val="Brojstranice"/>
        <w:sz w:val="20"/>
        <w:szCs w:val="20"/>
      </w:rPr>
      <w:fldChar w:fldCharType="end"/>
    </w:r>
  </w:p>
  <w:p w14:paraId="4B5540A7" w14:textId="77777777" w:rsidR="00285BD4" w:rsidRPr="00CA13BF" w:rsidRDefault="00285BD4">
    <w:pPr>
      <w:pStyle w:val="Podnoj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F630" w14:textId="77777777" w:rsidR="00F765E0" w:rsidRDefault="00F765E0">
      <w:r>
        <w:separator/>
      </w:r>
    </w:p>
  </w:footnote>
  <w:footnote w:type="continuationSeparator" w:id="0">
    <w:p w14:paraId="090E89DC" w14:textId="77777777" w:rsidR="00F765E0" w:rsidRDefault="00F7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5F9B"/>
    <w:multiLevelType w:val="hybridMultilevel"/>
    <w:tmpl w:val="2F9AA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D3977"/>
    <w:multiLevelType w:val="hybridMultilevel"/>
    <w:tmpl w:val="8EC4A0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E91329"/>
    <w:multiLevelType w:val="hybridMultilevel"/>
    <w:tmpl w:val="AB101002"/>
    <w:lvl w:ilvl="0" w:tplc="977884B0">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237013"/>
    <w:multiLevelType w:val="hybridMultilevel"/>
    <w:tmpl w:val="45AC4A4A"/>
    <w:lvl w:ilvl="0" w:tplc="BE5C54EC">
      <w:numFmt w:val="bullet"/>
      <w:lvlText w:val="-"/>
      <w:lvlJc w:val="left"/>
      <w:pPr>
        <w:tabs>
          <w:tab w:val="num" w:pos="1035"/>
        </w:tabs>
        <w:ind w:left="1035" w:hanging="360"/>
      </w:pPr>
      <w:rPr>
        <w:rFonts w:ascii="Times New Roman" w:eastAsia="Times New Roman" w:hAnsi="Times New Roman"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4" w15:restartNumberingAfterBreak="0">
    <w:nsid w:val="16E44FDF"/>
    <w:multiLevelType w:val="hybridMultilevel"/>
    <w:tmpl w:val="661E2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F30B4F"/>
    <w:multiLevelType w:val="hybridMultilevel"/>
    <w:tmpl w:val="294EFE2C"/>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3F3997"/>
    <w:multiLevelType w:val="hybridMultilevel"/>
    <w:tmpl w:val="8500B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03D28DB"/>
    <w:multiLevelType w:val="hybridMultilevel"/>
    <w:tmpl w:val="1ABE3732"/>
    <w:lvl w:ilvl="0" w:tplc="0088D6C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4DF53D6"/>
    <w:multiLevelType w:val="hybridMultilevel"/>
    <w:tmpl w:val="5016D82A"/>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A083F"/>
    <w:multiLevelType w:val="hybridMultilevel"/>
    <w:tmpl w:val="84BC938A"/>
    <w:lvl w:ilvl="0" w:tplc="297A8226">
      <w:numFmt w:val="bullet"/>
      <w:lvlText w:val="-"/>
      <w:lvlJc w:val="left"/>
      <w:pPr>
        <w:ind w:left="720" w:hanging="360"/>
      </w:pPr>
      <w:rPr>
        <w:rFonts w:ascii="Calibri" w:eastAsia="Times New Roman" w:hAnsi="Calibri"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15:restartNumberingAfterBreak="0">
    <w:nsid w:val="537E5A17"/>
    <w:multiLevelType w:val="hybridMultilevel"/>
    <w:tmpl w:val="74D8E120"/>
    <w:lvl w:ilvl="0" w:tplc="041A000B">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A42CCF"/>
    <w:multiLevelType w:val="hybridMultilevel"/>
    <w:tmpl w:val="996C3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B781CBB"/>
    <w:multiLevelType w:val="hybridMultilevel"/>
    <w:tmpl w:val="DC9A8144"/>
    <w:lvl w:ilvl="0" w:tplc="041A0001">
      <w:start w:val="1"/>
      <w:numFmt w:val="bullet"/>
      <w:lvlText w:val=""/>
      <w:lvlJc w:val="left"/>
      <w:pPr>
        <w:tabs>
          <w:tab w:val="num" w:pos="720"/>
        </w:tabs>
        <w:ind w:left="720" w:hanging="360"/>
      </w:pPr>
      <w:rPr>
        <w:rFonts w:ascii="Symbol" w:hAnsi="Symbol" w:hint="default"/>
      </w:rPr>
    </w:lvl>
    <w:lvl w:ilvl="1" w:tplc="A6360062">
      <w:start w:val="2009"/>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F67B0"/>
    <w:multiLevelType w:val="hybridMultilevel"/>
    <w:tmpl w:val="AD926E5A"/>
    <w:lvl w:ilvl="0" w:tplc="991ADF3C">
      <w:start w:val="393"/>
      <w:numFmt w:val="bullet"/>
      <w:lvlText w:val="-"/>
      <w:lvlJc w:val="left"/>
      <w:pPr>
        <w:ind w:left="1080" w:hanging="360"/>
      </w:pPr>
      <w:rPr>
        <w:rFonts w:ascii="Bookman Old Style" w:eastAsia="Times New Roman" w:hAnsi="Bookman Old Styl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72DE0FB0"/>
    <w:multiLevelType w:val="hybridMultilevel"/>
    <w:tmpl w:val="16AE77FC"/>
    <w:lvl w:ilvl="0" w:tplc="041A000B">
      <w:start w:val="1"/>
      <w:numFmt w:val="bullet"/>
      <w:lvlText w:val=""/>
      <w:lvlJc w:val="left"/>
      <w:pPr>
        <w:tabs>
          <w:tab w:val="num" w:pos="0"/>
        </w:tabs>
        <w:ind w:left="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52C6AAE"/>
    <w:multiLevelType w:val="hybridMultilevel"/>
    <w:tmpl w:val="E2706E78"/>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6D23C1"/>
    <w:multiLevelType w:val="hybridMultilevel"/>
    <w:tmpl w:val="F8020620"/>
    <w:lvl w:ilvl="0" w:tplc="0088D6C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1903462">
    <w:abstractNumId w:val="3"/>
  </w:num>
  <w:num w:numId="2" w16cid:durableId="92945604">
    <w:abstractNumId w:val="15"/>
  </w:num>
  <w:num w:numId="3" w16cid:durableId="1947152629">
    <w:abstractNumId w:val="14"/>
  </w:num>
  <w:num w:numId="4" w16cid:durableId="1717387529">
    <w:abstractNumId w:val="10"/>
  </w:num>
  <w:num w:numId="5" w16cid:durableId="887643389">
    <w:abstractNumId w:val="8"/>
  </w:num>
  <w:num w:numId="6" w16cid:durableId="803815853">
    <w:abstractNumId w:val="12"/>
  </w:num>
  <w:num w:numId="7" w16cid:durableId="1329862721">
    <w:abstractNumId w:val="13"/>
  </w:num>
  <w:num w:numId="8" w16cid:durableId="807478360">
    <w:abstractNumId w:val="2"/>
  </w:num>
  <w:num w:numId="9" w16cid:durableId="220364184">
    <w:abstractNumId w:val="11"/>
  </w:num>
  <w:num w:numId="10" w16cid:durableId="57869576">
    <w:abstractNumId w:val="4"/>
  </w:num>
  <w:num w:numId="11" w16cid:durableId="554506354">
    <w:abstractNumId w:val="9"/>
  </w:num>
  <w:num w:numId="12" w16cid:durableId="80876774">
    <w:abstractNumId w:val="5"/>
  </w:num>
  <w:num w:numId="13" w16cid:durableId="1856994917">
    <w:abstractNumId w:val="16"/>
  </w:num>
  <w:num w:numId="14" w16cid:durableId="1107577134">
    <w:abstractNumId w:val="1"/>
  </w:num>
  <w:num w:numId="15" w16cid:durableId="1490556502">
    <w:abstractNumId w:val="0"/>
  </w:num>
  <w:num w:numId="16" w16cid:durableId="1465194515">
    <w:abstractNumId w:val="7"/>
  </w:num>
  <w:num w:numId="17" w16cid:durableId="146912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5F"/>
    <w:rsid w:val="00000BE1"/>
    <w:rsid w:val="000017CA"/>
    <w:rsid w:val="0000367D"/>
    <w:rsid w:val="00005197"/>
    <w:rsid w:val="0001254A"/>
    <w:rsid w:val="00013603"/>
    <w:rsid w:val="00016C80"/>
    <w:rsid w:val="00016F84"/>
    <w:rsid w:val="000173EA"/>
    <w:rsid w:val="00017FEB"/>
    <w:rsid w:val="000219C7"/>
    <w:rsid w:val="00025F59"/>
    <w:rsid w:val="00026153"/>
    <w:rsid w:val="000274C6"/>
    <w:rsid w:val="00027AB5"/>
    <w:rsid w:val="00030773"/>
    <w:rsid w:val="000309BE"/>
    <w:rsid w:val="0003123B"/>
    <w:rsid w:val="000316AC"/>
    <w:rsid w:val="00031B46"/>
    <w:rsid w:val="0003580D"/>
    <w:rsid w:val="000359D9"/>
    <w:rsid w:val="00036045"/>
    <w:rsid w:val="00036053"/>
    <w:rsid w:val="000362AB"/>
    <w:rsid w:val="00037E0A"/>
    <w:rsid w:val="00043667"/>
    <w:rsid w:val="00043AA3"/>
    <w:rsid w:val="00045849"/>
    <w:rsid w:val="00045D94"/>
    <w:rsid w:val="000479CB"/>
    <w:rsid w:val="0005041B"/>
    <w:rsid w:val="0005392C"/>
    <w:rsid w:val="00054478"/>
    <w:rsid w:val="000574C5"/>
    <w:rsid w:val="00061696"/>
    <w:rsid w:val="00064794"/>
    <w:rsid w:val="00064AA2"/>
    <w:rsid w:val="00065AF9"/>
    <w:rsid w:val="000665B3"/>
    <w:rsid w:val="00067B7B"/>
    <w:rsid w:val="00075714"/>
    <w:rsid w:val="000761F5"/>
    <w:rsid w:val="0007715E"/>
    <w:rsid w:val="00077A40"/>
    <w:rsid w:val="00080EB2"/>
    <w:rsid w:val="000825C2"/>
    <w:rsid w:val="000834A7"/>
    <w:rsid w:val="00085BD1"/>
    <w:rsid w:val="000906F3"/>
    <w:rsid w:val="00091E27"/>
    <w:rsid w:val="00091F0D"/>
    <w:rsid w:val="00093B6B"/>
    <w:rsid w:val="000943E0"/>
    <w:rsid w:val="000951F0"/>
    <w:rsid w:val="00096666"/>
    <w:rsid w:val="000A2DE5"/>
    <w:rsid w:val="000A5642"/>
    <w:rsid w:val="000B019A"/>
    <w:rsid w:val="000B130C"/>
    <w:rsid w:val="000B26FE"/>
    <w:rsid w:val="000B5092"/>
    <w:rsid w:val="000C07F0"/>
    <w:rsid w:val="000C2974"/>
    <w:rsid w:val="000C428E"/>
    <w:rsid w:val="000C4C59"/>
    <w:rsid w:val="000D0B3D"/>
    <w:rsid w:val="000D178F"/>
    <w:rsid w:val="000D1A34"/>
    <w:rsid w:val="000D35C5"/>
    <w:rsid w:val="000D55AB"/>
    <w:rsid w:val="000D6681"/>
    <w:rsid w:val="000D730A"/>
    <w:rsid w:val="000E0C55"/>
    <w:rsid w:val="000E1C10"/>
    <w:rsid w:val="000E3896"/>
    <w:rsid w:val="000E68F7"/>
    <w:rsid w:val="000F09E0"/>
    <w:rsid w:val="000F52B7"/>
    <w:rsid w:val="000F581A"/>
    <w:rsid w:val="00100206"/>
    <w:rsid w:val="001003E9"/>
    <w:rsid w:val="0010232D"/>
    <w:rsid w:val="00102884"/>
    <w:rsid w:val="0010717F"/>
    <w:rsid w:val="00112906"/>
    <w:rsid w:val="00112ABE"/>
    <w:rsid w:val="0011399A"/>
    <w:rsid w:val="00114645"/>
    <w:rsid w:val="001151A3"/>
    <w:rsid w:val="00121F2C"/>
    <w:rsid w:val="0012217D"/>
    <w:rsid w:val="001227F1"/>
    <w:rsid w:val="001243CF"/>
    <w:rsid w:val="00124A9D"/>
    <w:rsid w:val="00124B06"/>
    <w:rsid w:val="00127EFB"/>
    <w:rsid w:val="00127F08"/>
    <w:rsid w:val="001364BF"/>
    <w:rsid w:val="0013728F"/>
    <w:rsid w:val="00137792"/>
    <w:rsid w:val="00141D7A"/>
    <w:rsid w:val="00142B00"/>
    <w:rsid w:val="001433EE"/>
    <w:rsid w:val="0014608C"/>
    <w:rsid w:val="00146823"/>
    <w:rsid w:val="0014712B"/>
    <w:rsid w:val="001511AF"/>
    <w:rsid w:val="00151B91"/>
    <w:rsid w:val="001525FC"/>
    <w:rsid w:val="00154C92"/>
    <w:rsid w:val="00155C1E"/>
    <w:rsid w:val="00156067"/>
    <w:rsid w:val="00156FEF"/>
    <w:rsid w:val="00157442"/>
    <w:rsid w:val="001575FA"/>
    <w:rsid w:val="001706B4"/>
    <w:rsid w:val="00170EDD"/>
    <w:rsid w:val="00170F71"/>
    <w:rsid w:val="00171DFF"/>
    <w:rsid w:val="00172291"/>
    <w:rsid w:val="00173A5C"/>
    <w:rsid w:val="001803C6"/>
    <w:rsid w:val="001838D9"/>
    <w:rsid w:val="00185652"/>
    <w:rsid w:val="0018614D"/>
    <w:rsid w:val="00186F3B"/>
    <w:rsid w:val="00187B1A"/>
    <w:rsid w:val="001901AD"/>
    <w:rsid w:val="00191A77"/>
    <w:rsid w:val="00191F3F"/>
    <w:rsid w:val="00191F58"/>
    <w:rsid w:val="00193E08"/>
    <w:rsid w:val="00197A68"/>
    <w:rsid w:val="00197A7B"/>
    <w:rsid w:val="001A047D"/>
    <w:rsid w:val="001A0753"/>
    <w:rsid w:val="001A0D85"/>
    <w:rsid w:val="001A4F65"/>
    <w:rsid w:val="001A6C08"/>
    <w:rsid w:val="001B00AF"/>
    <w:rsid w:val="001B1206"/>
    <w:rsid w:val="001B1F87"/>
    <w:rsid w:val="001B6712"/>
    <w:rsid w:val="001B6827"/>
    <w:rsid w:val="001C0E2D"/>
    <w:rsid w:val="001C1136"/>
    <w:rsid w:val="001C20E3"/>
    <w:rsid w:val="001C53FE"/>
    <w:rsid w:val="001C6080"/>
    <w:rsid w:val="001C72E6"/>
    <w:rsid w:val="001D013E"/>
    <w:rsid w:val="001D222D"/>
    <w:rsid w:val="001D4E9E"/>
    <w:rsid w:val="001D6BEE"/>
    <w:rsid w:val="001D7012"/>
    <w:rsid w:val="001D7018"/>
    <w:rsid w:val="001E13ED"/>
    <w:rsid w:val="001E1534"/>
    <w:rsid w:val="001E45BA"/>
    <w:rsid w:val="001E5457"/>
    <w:rsid w:val="001E76F0"/>
    <w:rsid w:val="001E7712"/>
    <w:rsid w:val="001F04DB"/>
    <w:rsid w:val="001F0BA7"/>
    <w:rsid w:val="001F191F"/>
    <w:rsid w:val="001F400C"/>
    <w:rsid w:val="001F4107"/>
    <w:rsid w:val="001F41E7"/>
    <w:rsid w:val="001F4E1E"/>
    <w:rsid w:val="001F53AB"/>
    <w:rsid w:val="00200238"/>
    <w:rsid w:val="0020460C"/>
    <w:rsid w:val="002060F5"/>
    <w:rsid w:val="00206F47"/>
    <w:rsid w:val="00213C0A"/>
    <w:rsid w:val="002209A6"/>
    <w:rsid w:val="002243A0"/>
    <w:rsid w:val="00226010"/>
    <w:rsid w:val="00235132"/>
    <w:rsid w:val="00240063"/>
    <w:rsid w:val="002402B5"/>
    <w:rsid w:val="0024178C"/>
    <w:rsid w:val="0024362A"/>
    <w:rsid w:val="00245B7A"/>
    <w:rsid w:val="00246E90"/>
    <w:rsid w:val="00246EA4"/>
    <w:rsid w:val="002528B5"/>
    <w:rsid w:val="00254731"/>
    <w:rsid w:val="00255731"/>
    <w:rsid w:val="00256941"/>
    <w:rsid w:val="00256962"/>
    <w:rsid w:val="00260156"/>
    <w:rsid w:val="00262C32"/>
    <w:rsid w:val="002635CC"/>
    <w:rsid w:val="0026382C"/>
    <w:rsid w:val="0026416C"/>
    <w:rsid w:val="002641FE"/>
    <w:rsid w:val="00266854"/>
    <w:rsid w:val="0026722A"/>
    <w:rsid w:val="00273F20"/>
    <w:rsid w:val="00274197"/>
    <w:rsid w:val="00277C8A"/>
    <w:rsid w:val="00280C5C"/>
    <w:rsid w:val="002829A2"/>
    <w:rsid w:val="00282F30"/>
    <w:rsid w:val="00285022"/>
    <w:rsid w:val="00285A14"/>
    <w:rsid w:val="00285BD4"/>
    <w:rsid w:val="00285F96"/>
    <w:rsid w:val="002865EC"/>
    <w:rsid w:val="0029027A"/>
    <w:rsid w:val="0029033A"/>
    <w:rsid w:val="00290FB4"/>
    <w:rsid w:val="00291688"/>
    <w:rsid w:val="0029372C"/>
    <w:rsid w:val="0029425A"/>
    <w:rsid w:val="002947AD"/>
    <w:rsid w:val="00296DF7"/>
    <w:rsid w:val="002A02B2"/>
    <w:rsid w:val="002A220E"/>
    <w:rsid w:val="002A2363"/>
    <w:rsid w:val="002A2521"/>
    <w:rsid w:val="002A3AF9"/>
    <w:rsid w:val="002A44D7"/>
    <w:rsid w:val="002B0CFC"/>
    <w:rsid w:val="002B18FA"/>
    <w:rsid w:val="002B21B3"/>
    <w:rsid w:val="002B2982"/>
    <w:rsid w:val="002B5260"/>
    <w:rsid w:val="002C10D1"/>
    <w:rsid w:val="002C13D1"/>
    <w:rsid w:val="002C2CB4"/>
    <w:rsid w:val="002C55A6"/>
    <w:rsid w:val="002C5691"/>
    <w:rsid w:val="002C6E4A"/>
    <w:rsid w:val="002C7FE7"/>
    <w:rsid w:val="002D2078"/>
    <w:rsid w:val="002D29A2"/>
    <w:rsid w:val="002D7D23"/>
    <w:rsid w:val="002E6FAE"/>
    <w:rsid w:val="002E7037"/>
    <w:rsid w:val="002E7584"/>
    <w:rsid w:val="002F0257"/>
    <w:rsid w:val="002F0FF0"/>
    <w:rsid w:val="002F125E"/>
    <w:rsid w:val="002F24C1"/>
    <w:rsid w:val="002F25D9"/>
    <w:rsid w:val="002F2686"/>
    <w:rsid w:val="002F3E04"/>
    <w:rsid w:val="002F410E"/>
    <w:rsid w:val="002F55CF"/>
    <w:rsid w:val="002F7047"/>
    <w:rsid w:val="0030189B"/>
    <w:rsid w:val="0030203F"/>
    <w:rsid w:val="00305271"/>
    <w:rsid w:val="003066D5"/>
    <w:rsid w:val="00306CE4"/>
    <w:rsid w:val="00310267"/>
    <w:rsid w:val="0031291B"/>
    <w:rsid w:val="00312F9D"/>
    <w:rsid w:val="00313A83"/>
    <w:rsid w:val="003142FB"/>
    <w:rsid w:val="00315A49"/>
    <w:rsid w:val="00330D37"/>
    <w:rsid w:val="003314B2"/>
    <w:rsid w:val="00331835"/>
    <w:rsid w:val="00331BEC"/>
    <w:rsid w:val="00332B6C"/>
    <w:rsid w:val="0033486E"/>
    <w:rsid w:val="003351B4"/>
    <w:rsid w:val="00336C5C"/>
    <w:rsid w:val="003370B6"/>
    <w:rsid w:val="00337ED7"/>
    <w:rsid w:val="0034042C"/>
    <w:rsid w:val="00340B92"/>
    <w:rsid w:val="00341CE1"/>
    <w:rsid w:val="00341FBB"/>
    <w:rsid w:val="00342B36"/>
    <w:rsid w:val="00342E4B"/>
    <w:rsid w:val="00347720"/>
    <w:rsid w:val="003501BB"/>
    <w:rsid w:val="003509FC"/>
    <w:rsid w:val="00353E31"/>
    <w:rsid w:val="003576C8"/>
    <w:rsid w:val="00357C6E"/>
    <w:rsid w:val="0036068D"/>
    <w:rsid w:val="003648E9"/>
    <w:rsid w:val="00364A93"/>
    <w:rsid w:val="00366998"/>
    <w:rsid w:val="003706AA"/>
    <w:rsid w:val="003730AC"/>
    <w:rsid w:val="00373F54"/>
    <w:rsid w:val="00377D96"/>
    <w:rsid w:val="00381632"/>
    <w:rsid w:val="00381ECC"/>
    <w:rsid w:val="0038391A"/>
    <w:rsid w:val="003842F2"/>
    <w:rsid w:val="00387DA4"/>
    <w:rsid w:val="00390D48"/>
    <w:rsid w:val="003912A1"/>
    <w:rsid w:val="00391E15"/>
    <w:rsid w:val="00393ED4"/>
    <w:rsid w:val="00394A58"/>
    <w:rsid w:val="003A07A0"/>
    <w:rsid w:val="003A607D"/>
    <w:rsid w:val="003B05A0"/>
    <w:rsid w:val="003B06F6"/>
    <w:rsid w:val="003B12D9"/>
    <w:rsid w:val="003B33E1"/>
    <w:rsid w:val="003B405D"/>
    <w:rsid w:val="003B62C0"/>
    <w:rsid w:val="003C398A"/>
    <w:rsid w:val="003C5C1E"/>
    <w:rsid w:val="003C6231"/>
    <w:rsid w:val="003C7127"/>
    <w:rsid w:val="003D1469"/>
    <w:rsid w:val="003D2542"/>
    <w:rsid w:val="003D4686"/>
    <w:rsid w:val="003D6CDF"/>
    <w:rsid w:val="003E1DD8"/>
    <w:rsid w:val="003E39A8"/>
    <w:rsid w:val="003E7ED4"/>
    <w:rsid w:val="003F08C4"/>
    <w:rsid w:val="003F431F"/>
    <w:rsid w:val="003F7C9A"/>
    <w:rsid w:val="003F7D42"/>
    <w:rsid w:val="004001C6"/>
    <w:rsid w:val="00400B11"/>
    <w:rsid w:val="004032A0"/>
    <w:rsid w:val="00403BA1"/>
    <w:rsid w:val="00405357"/>
    <w:rsid w:val="0040711A"/>
    <w:rsid w:val="00414BFA"/>
    <w:rsid w:val="00415E82"/>
    <w:rsid w:val="00421878"/>
    <w:rsid w:val="00422F6C"/>
    <w:rsid w:val="00423431"/>
    <w:rsid w:val="004246A8"/>
    <w:rsid w:val="00425D22"/>
    <w:rsid w:val="0042772F"/>
    <w:rsid w:val="00430359"/>
    <w:rsid w:val="00430547"/>
    <w:rsid w:val="0043106D"/>
    <w:rsid w:val="00432189"/>
    <w:rsid w:val="00432D26"/>
    <w:rsid w:val="00441AE5"/>
    <w:rsid w:val="00441FD6"/>
    <w:rsid w:val="00442482"/>
    <w:rsid w:val="00442C49"/>
    <w:rsid w:val="00443A45"/>
    <w:rsid w:val="00443EDE"/>
    <w:rsid w:val="00444F22"/>
    <w:rsid w:val="00444FCE"/>
    <w:rsid w:val="00445761"/>
    <w:rsid w:val="0044698F"/>
    <w:rsid w:val="00446E41"/>
    <w:rsid w:val="00450885"/>
    <w:rsid w:val="0045217A"/>
    <w:rsid w:val="0045263B"/>
    <w:rsid w:val="00452BE0"/>
    <w:rsid w:val="00455F52"/>
    <w:rsid w:val="0045767E"/>
    <w:rsid w:val="0046146F"/>
    <w:rsid w:val="004614F3"/>
    <w:rsid w:val="004628A9"/>
    <w:rsid w:val="00462A18"/>
    <w:rsid w:val="004658A3"/>
    <w:rsid w:val="00470E79"/>
    <w:rsid w:val="004714B3"/>
    <w:rsid w:val="004722F6"/>
    <w:rsid w:val="00472A9E"/>
    <w:rsid w:val="00474E1F"/>
    <w:rsid w:val="004801C2"/>
    <w:rsid w:val="00480D27"/>
    <w:rsid w:val="00484A74"/>
    <w:rsid w:val="00484FF7"/>
    <w:rsid w:val="00485571"/>
    <w:rsid w:val="00487E1E"/>
    <w:rsid w:val="00490EC4"/>
    <w:rsid w:val="00491058"/>
    <w:rsid w:val="00492893"/>
    <w:rsid w:val="004928AC"/>
    <w:rsid w:val="00492AF9"/>
    <w:rsid w:val="0049316A"/>
    <w:rsid w:val="00494548"/>
    <w:rsid w:val="004946E6"/>
    <w:rsid w:val="0049581A"/>
    <w:rsid w:val="004977CD"/>
    <w:rsid w:val="004A225D"/>
    <w:rsid w:val="004A3536"/>
    <w:rsid w:val="004A3C76"/>
    <w:rsid w:val="004A5D6A"/>
    <w:rsid w:val="004A6B2B"/>
    <w:rsid w:val="004A7484"/>
    <w:rsid w:val="004A7D96"/>
    <w:rsid w:val="004B2180"/>
    <w:rsid w:val="004B308C"/>
    <w:rsid w:val="004B380E"/>
    <w:rsid w:val="004B499C"/>
    <w:rsid w:val="004B4D7F"/>
    <w:rsid w:val="004B5015"/>
    <w:rsid w:val="004B71A1"/>
    <w:rsid w:val="004B744D"/>
    <w:rsid w:val="004C04C5"/>
    <w:rsid w:val="004C0EAC"/>
    <w:rsid w:val="004C11C0"/>
    <w:rsid w:val="004C15F2"/>
    <w:rsid w:val="004C1FEE"/>
    <w:rsid w:val="004C347C"/>
    <w:rsid w:val="004C4B93"/>
    <w:rsid w:val="004C66EC"/>
    <w:rsid w:val="004C7184"/>
    <w:rsid w:val="004D0B0E"/>
    <w:rsid w:val="004D2614"/>
    <w:rsid w:val="004D5E1E"/>
    <w:rsid w:val="004D6C70"/>
    <w:rsid w:val="004D72D6"/>
    <w:rsid w:val="004E0FA5"/>
    <w:rsid w:val="004E6985"/>
    <w:rsid w:val="004E6C8B"/>
    <w:rsid w:val="004E6F90"/>
    <w:rsid w:val="004E7E1F"/>
    <w:rsid w:val="004F43C9"/>
    <w:rsid w:val="004F541D"/>
    <w:rsid w:val="004F5FEA"/>
    <w:rsid w:val="004F67E9"/>
    <w:rsid w:val="004F7289"/>
    <w:rsid w:val="00502019"/>
    <w:rsid w:val="00510190"/>
    <w:rsid w:val="005107B7"/>
    <w:rsid w:val="00512580"/>
    <w:rsid w:val="00512A9C"/>
    <w:rsid w:val="00513D56"/>
    <w:rsid w:val="00513E25"/>
    <w:rsid w:val="0051709E"/>
    <w:rsid w:val="0051752E"/>
    <w:rsid w:val="0052144F"/>
    <w:rsid w:val="005221EF"/>
    <w:rsid w:val="0052334B"/>
    <w:rsid w:val="005244FC"/>
    <w:rsid w:val="00525476"/>
    <w:rsid w:val="005258F9"/>
    <w:rsid w:val="00530F08"/>
    <w:rsid w:val="00532038"/>
    <w:rsid w:val="00533A16"/>
    <w:rsid w:val="0053444E"/>
    <w:rsid w:val="00534E8A"/>
    <w:rsid w:val="005359B0"/>
    <w:rsid w:val="005376B5"/>
    <w:rsid w:val="00537E35"/>
    <w:rsid w:val="00544521"/>
    <w:rsid w:val="005468C3"/>
    <w:rsid w:val="00546BF7"/>
    <w:rsid w:val="00547449"/>
    <w:rsid w:val="005474AA"/>
    <w:rsid w:val="00550D5E"/>
    <w:rsid w:val="00551FFB"/>
    <w:rsid w:val="00552AB6"/>
    <w:rsid w:val="0055476B"/>
    <w:rsid w:val="005561D0"/>
    <w:rsid w:val="0056266F"/>
    <w:rsid w:val="00566B21"/>
    <w:rsid w:val="005700E1"/>
    <w:rsid w:val="005705A6"/>
    <w:rsid w:val="0057100B"/>
    <w:rsid w:val="005715CC"/>
    <w:rsid w:val="00572B5B"/>
    <w:rsid w:val="00574C77"/>
    <w:rsid w:val="00576DA8"/>
    <w:rsid w:val="00577C15"/>
    <w:rsid w:val="005801EC"/>
    <w:rsid w:val="0058219B"/>
    <w:rsid w:val="00585BA5"/>
    <w:rsid w:val="00591375"/>
    <w:rsid w:val="005929B9"/>
    <w:rsid w:val="00592F18"/>
    <w:rsid w:val="005A52F4"/>
    <w:rsid w:val="005B17CE"/>
    <w:rsid w:val="005B1CAE"/>
    <w:rsid w:val="005B1EA7"/>
    <w:rsid w:val="005B26F6"/>
    <w:rsid w:val="005B3211"/>
    <w:rsid w:val="005B3447"/>
    <w:rsid w:val="005B3545"/>
    <w:rsid w:val="005B41EF"/>
    <w:rsid w:val="005C069F"/>
    <w:rsid w:val="005C44F7"/>
    <w:rsid w:val="005C4929"/>
    <w:rsid w:val="005C60FA"/>
    <w:rsid w:val="005C68D9"/>
    <w:rsid w:val="005D0947"/>
    <w:rsid w:val="005D1818"/>
    <w:rsid w:val="005E1551"/>
    <w:rsid w:val="005E20BE"/>
    <w:rsid w:val="005E26AA"/>
    <w:rsid w:val="005E4BEA"/>
    <w:rsid w:val="005F0F9F"/>
    <w:rsid w:val="005F19E6"/>
    <w:rsid w:val="005F22AD"/>
    <w:rsid w:val="005F426F"/>
    <w:rsid w:val="005F45DF"/>
    <w:rsid w:val="005F4EF9"/>
    <w:rsid w:val="005F54DD"/>
    <w:rsid w:val="005F5DB7"/>
    <w:rsid w:val="005F6C1A"/>
    <w:rsid w:val="00601868"/>
    <w:rsid w:val="00604C3C"/>
    <w:rsid w:val="00605D55"/>
    <w:rsid w:val="006125D1"/>
    <w:rsid w:val="006127AC"/>
    <w:rsid w:val="00622731"/>
    <w:rsid w:val="00622B8F"/>
    <w:rsid w:val="0062348E"/>
    <w:rsid w:val="0062415F"/>
    <w:rsid w:val="00624318"/>
    <w:rsid w:val="00625866"/>
    <w:rsid w:val="0062613D"/>
    <w:rsid w:val="00630D26"/>
    <w:rsid w:val="00631249"/>
    <w:rsid w:val="00632682"/>
    <w:rsid w:val="00633434"/>
    <w:rsid w:val="00633758"/>
    <w:rsid w:val="00633D9F"/>
    <w:rsid w:val="00634F85"/>
    <w:rsid w:val="006360B9"/>
    <w:rsid w:val="006371EF"/>
    <w:rsid w:val="006372D5"/>
    <w:rsid w:val="006378F0"/>
    <w:rsid w:val="00640D23"/>
    <w:rsid w:val="00641BEC"/>
    <w:rsid w:val="00641C5C"/>
    <w:rsid w:val="00644C1B"/>
    <w:rsid w:val="006473F5"/>
    <w:rsid w:val="0064766E"/>
    <w:rsid w:val="00647F7B"/>
    <w:rsid w:val="006515E2"/>
    <w:rsid w:val="006530FC"/>
    <w:rsid w:val="00653916"/>
    <w:rsid w:val="006554EE"/>
    <w:rsid w:val="00657A8C"/>
    <w:rsid w:val="00657FA6"/>
    <w:rsid w:val="006644D5"/>
    <w:rsid w:val="00666455"/>
    <w:rsid w:val="00667DA6"/>
    <w:rsid w:val="00670528"/>
    <w:rsid w:val="006714C3"/>
    <w:rsid w:val="006717E0"/>
    <w:rsid w:val="00672809"/>
    <w:rsid w:val="00672DF6"/>
    <w:rsid w:val="00675D71"/>
    <w:rsid w:val="00680446"/>
    <w:rsid w:val="00680972"/>
    <w:rsid w:val="00682588"/>
    <w:rsid w:val="006836C2"/>
    <w:rsid w:val="0068403B"/>
    <w:rsid w:val="006855A3"/>
    <w:rsid w:val="00687198"/>
    <w:rsid w:val="0068765D"/>
    <w:rsid w:val="00693D79"/>
    <w:rsid w:val="006941AF"/>
    <w:rsid w:val="00694984"/>
    <w:rsid w:val="00694D7A"/>
    <w:rsid w:val="00696000"/>
    <w:rsid w:val="00696FFC"/>
    <w:rsid w:val="006A0A0C"/>
    <w:rsid w:val="006A0E8A"/>
    <w:rsid w:val="006A4C78"/>
    <w:rsid w:val="006B404C"/>
    <w:rsid w:val="006B4695"/>
    <w:rsid w:val="006B573F"/>
    <w:rsid w:val="006B59AE"/>
    <w:rsid w:val="006C527B"/>
    <w:rsid w:val="006D3002"/>
    <w:rsid w:val="006D47AB"/>
    <w:rsid w:val="006D4CDB"/>
    <w:rsid w:val="006D6CB2"/>
    <w:rsid w:val="006E1A40"/>
    <w:rsid w:val="006E2E46"/>
    <w:rsid w:val="006E502B"/>
    <w:rsid w:val="006E561E"/>
    <w:rsid w:val="006E56F2"/>
    <w:rsid w:val="006E6F8B"/>
    <w:rsid w:val="006E7925"/>
    <w:rsid w:val="006F2D3A"/>
    <w:rsid w:val="006F35DA"/>
    <w:rsid w:val="0070067F"/>
    <w:rsid w:val="00700D80"/>
    <w:rsid w:val="0070304A"/>
    <w:rsid w:val="00704B81"/>
    <w:rsid w:val="00704F80"/>
    <w:rsid w:val="007065F2"/>
    <w:rsid w:val="00706922"/>
    <w:rsid w:val="00707B11"/>
    <w:rsid w:val="007120FA"/>
    <w:rsid w:val="00715DE3"/>
    <w:rsid w:val="00717E84"/>
    <w:rsid w:val="00722794"/>
    <w:rsid w:val="0072379D"/>
    <w:rsid w:val="0072786B"/>
    <w:rsid w:val="00727A84"/>
    <w:rsid w:val="00727E41"/>
    <w:rsid w:val="007303ED"/>
    <w:rsid w:val="0073120F"/>
    <w:rsid w:val="00735621"/>
    <w:rsid w:val="00737DBB"/>
    <w:rsid w:val="00742D4A"/>
    <w:rsid w:val="00743C69"/>
    <w:rsid w:val="00744DB3"/>
    <w:rsid w:val="007459C1"/>
    <w:rsid w:val="007475A6"/>
    <w:rsid w:val="00750162"/>
    <w:rsid w:val="007503B4"/>
    <w:rsid w:val="00750AA5"/>
    <w:rsid w:val="0075105A"/>
    <w:rsid w:val="007516AE"/>
    <w:rsid w:val="007516C8"/>
    <w:rsid w:val="00752E31"/>
    <w:rsid w:val="007559C2"/>
    <w:rsid w:val="00755B46"/>
    <w:rsid w:val="00756047"/>
    <w:rsid w:val="0076213C"/>
    <w:rsid w:val="007671E6"/>
    <w:rsid w:val="0077156C"/>
    <w:rsid w:val="00771655"/>
    <w:rsid w:val="00777468"/>
    <w:rsid w:val="00780DA7"/>
    <w:rsid w:val="00782FAA"/>
    <w:rsid w:val="0078385C"/>
    <w:rsid w:val="007847CB"/>
    <w:rsid w:val="00791672"/>
    <w:rsid w:val="007930F3"/>
    <w:rsid w:val="007938AE"/>
    <w:rsid w:val="00795F65"/>
    <w:rsid w:val="00797218"/>
    <w:rsid w:val="007A0997"/>
    <w:rsid w:val="007A179A"/>
    <w:rsid w:val="007B0FC1"/>
    <w:rsid w:val="007B2636"/>
    <w:rsid w:val="007B2C38"/>
    <w:rsid w:val="007B3166"/>
    <w:rsid w:val="007B36E7"/>
    <w:rsid w:val="007B397E"/>
    <w:rsid w:val="007C2D1A"/>
    <w:rsid w:val="007C598E"/>
    <w:rsid w:val="007C687C"/>
    <w:rsid w:val="007C70FF"/>
    <w:rsid w:val="007C75D0"/>
    <w:rsid w:val="007D0B63"/>
    <w:rsid w:val="007D18EA"/>
    <w:rsid w:val="007D3043"/>
    <w:rsid w:val="007D397F"/>
    <w:rsid w:val="007D4EDC"/>
    <w:rsid w:val="007D6DCB"/>
    <w:rsid w:val="007E0647"/>
    <w:rsid w:val="007E2BA4"/>
    <w:rsid w:val="007E3193"/>
    <w:rsid w:val="007E341B"/>
    <w:rsid w:val="007E3C46"/>
    <w:rsid w:val="007E3F95"/>
    <w:rsid w:val="007E4C54"/>
    <w:rsid w:val="007E6533"/>
    <w:rsid w:val="007E66A4"/>
    <w:rsid w:val="007F1F00"/>
    <w:rsid w:val="007F4799"/>
    <w:rsid w:val="007F4BA2"/>
    <w:rsid w:val="008020E0"/>
    <w:rsid w:val="00802D98"/>
    <w:rsid w:val="00802E67"/>
    <w:rsid w:val="00803778"/>
    <w:rsid w:val="0080486A"/>
    <w:rsid w:val="00804E26"/>
    <w:rsid w:val="008061B5"/>
    <w:rsid w:val="008123E5"/>
    <w:rsid w:val="00814C85"/>
    <w:rsid w:val="00815948"/>
    <w:rsid w:val="00821165"/>
    <w:rsid w:val="00821687"/>
    <w:rsid w:val="00822382"/>
    <w:rsid w:val="008224FF"/>
    <w:rsid w:val="008226F8"/>
    <w:rsid w:val="00822988"/>
    <w:rsid w:val="00822B5A"/>
    <w:rsid w:val="00822DE9"/>
    <w:rsid w:val="008230ED"/>
    <w:rsid w:val="0082316E"/>
    <w:rsid w:val="00823C9C"/>
    <w:rsid w:val="008304E7"/>
    <w:rsid w:val="008330E8"/>
    <w:rsid w:val="00833225"/>
    <w:rsid w:val="00837C77"/>
    <w:rsid w:val="0084022E"/>
    <w:rsid w:val="00840ABC"/>
    <w:rsid w:val="00840C1C"/>
    <w:rsid w:val="00841C4E"/>
    <w:rsid w:val="0084201B"/>
    <w:rsid w:val="00843759"/>
    <w:rsid w:val="0084386D"/>
    <w:rsid w:val="00843CCD"/>
    <w:rsid w:val="00844038"/>
    <w:rsid w:val="008441BA"/>
    <w:rsid w:val="00844C3C"/>
    <w:rsid w:val="00845A56"/>
    <w:rsid w:val="00846550"/>
    <w:rsid w:val="008570B0"/>
    <w:rsid w:val="0085753E"/>
    <w:rsid w:val="00860DE5"/>
    <w:rsid w:val="0086369F"/>
    <w:rsid w:val="008662AE"/>
    <w:rsid w:val="00870399"/>
    <w:rsid w:val="00871E76"/>
    <w:rsid w:val="0087233A"/>
    <w:rsid w:val="0087336D"/>
    <w:rsid w:val="008760F2"/>
    <w:rsid w:val="00876AAB"/>
    <w:rsid w:val="00877635"/>
    <w:rsid w:val="00880D88"/>
    <w:rsid w:val="008816AD"/>
    <w:rsid w:val="00881DAF"/>
    <w:rsid w:val="008828E2"/>
    <w:rsid w:val="00882A38"/>
    <w:rsid w:val="0088497C"/>
    <w:rsid w:val="00886071"/>
    <w:rsid w:val="008862AB"/>
    <w:rsid w:val="008865BF"/>
    <w:rsid w:val="0088756E"/>
    <w:rsid w:val="0089284A"/>
    <w:rsid w:val="00894AC3"/>
    <w:rsid w:val="00894E18"/>
    <w:rsid w:val="00897063"/>
    <w:rsid w:val="008A0FA2"/>
    <w:rsid w:val="008A272A"/>
    <w:rsid w:val="008A3208"/>
    <w:rsid w:val="008A355B"/>
    <w:rsid w:val="008A4042"/>
    <w:rsid w:val="008A72B0"/>
    <w:rsid w:val="008A7DB3"/>
    <w:rsid w:val="008B0E18"/>
    <w:rsid w:val="008B2FC5"/>
    <w:rsid w:val="008B35FF"/>
    <w:rsid w:val="008B3704"/>
    <w:rsid w:val="008B66A9"/>
    <w:rsid w:val="008B67BD"/>
    <w:rsid w:val="008B76EC"/>
    <w:rsid w:val="008B7711"/>
    <w:rsid w:val="008C2633"/>
    <w:rsid w:val="008C2CB6"/>
    <w:rsid w:val="008D0161"/>
    <w:rsid w:val="008D1B4C"/>
    <w:rsid w:val="008D3DBB"/>
    <w:rsid w:val="008D4702"/>
    <w:rsid w:val="008D61CE"/>
    <w:rsid w:val="008D6D30"/>
    <w:rsid w:val="008D7359"/>
    <w:rsid w:val="008E57BF"/>
    <w:rsid w:val="008E6EC0"/>
    <w:rsid w:val="008E77F4"/>
    <w:rsid w:val="008F11B1"/>
    <w:rsid w:val="008F26F6"/>
    <w:rsid w:val="008F2B42"/>
    <w:rsid w:val="008F425F"/>
    <w:rsid w:val="008F6514"/>
    <w:rsid w:val="009035F5"/>
    <w:rsid w:val="00903E59"/>
    <w:rsid w:val="009062D2"/>
    <w:rsid w:val="00906623"/>
    <w:rsid w:val="0091443F"/>
    <w:rsid w:val="00914BE2"/>
    <w:rsid w:val="00916644"/>
    <w:rsid w:val="009213CE"/>
    <w:rsid w:val="00921BF3"/>
    <w:rsid w:val="009245B1"/>
    <w:rsid w:val="00925060"/>
    <w:rsid w:val="00925418"/>
    <w:rsid w:val="00925743"/>
    <w:rsid w:val="00926167"/>
    <w:rsid w:val="00926541"/>
    <w:rsid w:val="00932410"/>
    <w:rsid w:val="00933FFD"/>
    <w:rsid w:val="00935A13"/>
    <w:rsid w:val="00935A68"/>
    <w:rsid w:val="00936520"/>
    <w:rsid w:val="00937A78"/>
    <w:rsid w:val="00940E6F"/>
    <w:rsid w:val="009414B1"/>
    <w:rsid w:val="00941690"/>
    <w:rsid w:val="009430EE"/>
    <w:rsid w:val="00943210"/>
    <w:rsid w:val="00945D48"/>
    <w:rsid w:val="00946575"/>
    <w:rsid w:val="00947CB9"/>
    <w:rsid w:val="00950B90"/>
    <w:rsid w:val="00951EB1"/>
    <w:rsid w:val="009528DA"/>
    <w:rsid w:val="009530BF"/>
    <w:rsid w:val="009547EC"/>
    <w:rsid w:val="00955554"/>
    <w:rsid w:val="00955E70"/>
    <w:rsid w:val="00960135"/>
    <w:rsid w:val="00960716"/>
    <w:rsid w:val="009609F1"/>
    <w:rsid w:val="009637C8"/>
    <w:rsid w:val="00964F8C"/>
    <w:rsid w:val="0096620F"/>
    <w:rsid w:val="009669FC"/>
    <w:rsid w:val="00972D1D"/>
    <w:rsid w:val="00973E84"/>
    <w:rsid w:val="00976A8D"/>
    <w:rsid w:val="00980356"/>
    <w:rsid w:val="00980923"/>
    <w:rsid w:val="00980D92"/>
    <w:rsid w:val="00983327"/>
    <w:rsid w:val="00983A1E"/>
    <w:rsid w:val="00984EB8"/>
    <w:rsid w:val="00986B3E"/>
    <w:rsid w:val="009900DA"/>
    <w:rsid w:val="0099173A"/>
    <w:rsid w:val="00992556"/>
    <w:rsid w:val="0099310E"/>
    <w:rsid w:val="00993997"/>
    <w:rsid w:val="00994B50"/>
    <w:rsid w:val="00996404"/>
    <w:rsid w:val="009A2C2D"/>
    <w:rsid w:val="009A4B90"/>
    <w:rsid w:val="009A66EC"/>
    <w:rsid w:val="009A6DAF"/>
    <w:rsid w:val="009A760F"/>
    <w:rsid w:val="009A7CA2"/>
    <w:rsid w:val="009B0809"/>
    <w:rsid w:val="009B3E45"/>
    <w:rsid w:val="009B4846"/>
    <w:rsid w:val="009B5CE8"/>
    <w:rsid w:val="009B6877"/>
    <w:rsid w:val="009C0627"/>
    <w:rsid w:val="009C42E7"/>
    <w:rsid w:val="009C5D42"/>
    <w:rsid w:val="009C691B"/>
    <w:rsid w:val="009C6951"/>
    <w:rsid w:val="009C7722"/>
    <w:rsid w:val="009D24E4"/>
    <w:rsid w:val="009D42DB"/>
    <w:rsid w:val="009D4B84"/>
    <w:rsid w:val="009D4EDF"/>
    <w:rsid w:val="009D6F2C"/>
    <w:rsid w:val="009E3380"/>
    <w:rsid w:val="009E3792"/>
    <w:rsid w:val="009E693F"/>
    <w:rsid w:val="009E7913"/>
    <w:rsid w:val="009F0619"/>
    <w:rsid w:val="009F2E09"/>
    <w:rsid w:val="009F4194"/>
    <w:rsid w:val="009F4F33"/>
    <w:rsid w:val="009F57C2"/>
    <w:rsid w:val="009F71A3"/>
    <w:rsid w:val="00A01D2E"/>
    <w:rsid w:val="00A01E03"/>
    <w:rsid w:val="00A042F9"/>
    <w:rsid w:val="00A077B0"/>
    <w:rsid w:val="00A121D4"/>
    <w:rsid w:val="00A1243E"/>
    <w:rsid w:val="00A1279A"/>
    <w:rsid w:val="00A128C7"/>
    <w:rsid w:val="00A15136"/>
    <w:rsid w:val="00A15C0B"/>
    <w:rsid w:val="00A16BA3"/>
    <w:rsid w:val="00A17262"/>
    <w:rsid w:val="00A216B7"/>
    <w:rsid w:val="00A218C0"/>
    <w:rsid w:val="00A21E52"/>
    <w:rsid w:val="00A21FAC"/>
    <w:rsid w:val="00A225C3"/>
    <w:rsid w:val="00A239C6"/>
    <w:rsid w:val="00A2479F"/>
    <w:rsid w:val="00A2622B"/>
    <w:rsid w:val="00A323E0"/>
    <w:rsid w:val="00A331FF"/>
    <w:rsid w:val="00A33E57"/>
    <w:rsid w:val="00A3475B"/>
    <w:rsid w:val="00A35EBB"/>
    <w:rsid w:val="00A3692D"/>
    <w:rsid w:val="00A376FD"/>
    <w:rsid w:val="00A37DFB"/>
    <w:rsid w:val="00A42927"/>
    <w:rsid w:val="00A43155"/>
    <w:rsid w:val="00A439DD"/>
    <w:rsid w:val="00A445B2"/>
    <w:rsid w:val="00A44E1A"/>
    <w:rsid w:val="00A452B0"/>
    <w:rsid w:val="00A46B48"/>
    <w:rsid w:val="00A506ED"/>
    <w:rsid w:val="00A50FAF"/>
    <w:rsid w:val="00A5134F"/>
    <w:rsid w:val="00A530F9"/>
    <w:rsid w:val="00A542FC"/>
    <w:rsid w:val="00A57EF6"/>
    <w:rsid w:val="00A634F3"/>
    <w:rsid w:val="00A63A03"/>
    <w:rsid w:val="00A6734A"/>
    <w:rsid w:val="00A712D6"/>
    <w:rsid w:val="00A72FFC"/>
    <w:rsid w:val="00A754FF"/>
    <w:rsid w:val="00A7597F"/>
    <w:rsid w:val="00A75C89"/>
    <w:rsid w:val="00A82909"/>
    <w:rsid w:val="00A82EF4"/>
    <w:rsid w:val="00A83437"/>
    <w:rsid w:val="00A84EA2"/>
    <w:rsid w:val="00A86027"/>
    <w:rsid w:val="00A906FD"/>
    <w:rsid w:val="00A928E1"/>
    <w:rsid w:val="00A94308"/>
    <w:rsid w:val="00A97614"/>
    <w:rsid w:val="00AA0CF8"/>
    <w:rsid w:val="00AA292A"/>
    <w:rsid w:val="00AA2AB8"/>
    <w:rsid w:val="00AA31ED"/>
    <w:rsid w:val="00AA7E9D"/>
    <w:rsid w:val="00AB1FFB"/>
    <w:rsid w:val="00AB389B"/>
    <w:rsid w:val="00AB4AB1"/>
    <w:rsid w:val="00AB5911"/>
    <w:rsid w:val="00AB6C8C"/>
    <w:rsid w:val="00AB6EB9"/>
    <w:rsid w:val="00AC15B7"/>
    <w:rsid w:val="00AC31DA"/>
    <w:rsid w:val="00AC36CA"/>
    <w:rsid w:val="00AC4974"/>
    <w:rsid w:val="00AC4DD4"/>
    <w:rsid w:val="00AC5693"/>
    <w:rsid w:val="00AC750E"/>
    <w:rsid w:val="00AD0C96"/>
    <w:rsid w:val="00AD10EB"/>
    <w:rsid w:val="00AD43BF"/>
    <w:rsid w:val="00AD683E"/>
    <w:rsid w:val="00AD7BDA"/>
    <w:rsid w:val="00AE044C"/>
    <w:rsid w:val="00AE1ACE"/>
    <w:rsid w:val="00AE1F7D"/>
    <w:rsid w:val="00AE35BB"/>
    <w:rsid w:val="00AE39D0"/>
    <w:rsid w:val="00AE498C"/>
    <w:rsid w:val="00AE5637"/>
    <w:rsid w:val="00AE585A"/>
    <w:rsid w:val="00AE70A8"/>
    <w:rsid w:val="00AF04DF"/>
    <w:rsid w:val="00AF052A"/>
    <w:rsid w:val="00AF1916"/>
    <w:rsid w:val="00AF52F3"/>
    <w:rsid w:val="00AF6118"/>
    <w:rsid w:val="00AF685A"/>
    <w:rsid w:val="00B01E60"/>
    <w:rsid w:val="00B12F25"/>
    <w:rsid w:val="00B130E9"/>
    <w:rsid w:val="00B14231"/>
    <w:rsid w:val="00B16342"/>
    <w:rsid w:val="00B20819"/>
    <w:rsid w:val="00B255B1"/>
    <w:rsid w:val="00B32B75"/>
    <w:rsid w:val="00B3410D"/>
    <w:rsid w:val="00B346B5"/>
    <w:rsid w:val="00B355E4"/>
    <w:rsid w:val="00B359C0"/>
    <w:rsid w:val="00B366D6"/>
    <w:rsid w:val="00B3708D"/>
    <w:rsid w:val="00B40E1D"/>
    <w:rsid w:val="00B41B3E"/>
    <w:rsid w:val="00B43510"/>
    <w:rsid w:val="00B4494F"/>
    <w:rsid w:val="00B47247"/>
    <w:rsid w:val="00B47EC0"/>
    <w:rsid w:val="00B50F93"/>
    <w:rsid w:val="00B55E71"/>
    <w:rsid w:val="00B5682D"/>
    <w:rsid w:val="00B6011F"/>
    <w:rsid w:val="00B606AA"/>
    <w:rsid w:val="00B62217"/>
    <w:rsid w:val="00B628D4"/>
    <w:rsid w:val="00B62E49"/>
    <w:rsid w:val="00B63162"/>
    <w:rsid w:val="00B636B1"/>
    <w:rsid w:val="00B63ACC"/>
    <w:rsid w:val="00B65016"/>
    <w:rsid w:val="00B661F5"/>
    <w:rsid w:val="00B71DF9"/>
    <w:rsid w:val="00B748C0"/>
    <w:rsid w:val="00B8010A"/>
    <w:rsid w:val="00B80562"/>
    <w:rsid w:val="00B817E8"/>
    <w:rsid w:val="00B81D35"/>
    <w:rsid w:val="00B84224"/>
    <w:rsid w:val="00B860B6"/>
    <w:rsid w:val="00B8645E"/>
    <w:rsid w:val="00B86815"/>
    <w:rsid w:val="00B87ACE"/>
    <w:rsid w:val="00B905FB"/>
    <w:rsid w:val="00B9512D"/>
    <w:rsid w:val="00B95FCD"/>
    <w:rsid w:val="00BA1C04"/>
    <w:rsid w:val="00BA1F51"/>
    <w:rsid w:val="00BA21F1"/>
    <w:rsid w:val="00BA2682"/>
    <w:rsid w:val="00BA3105"/>
    <w:rsid w:val="00BA3E3F"/>
    <w:rsid w:val="00BA6587"/>
    <w:rsid w:val="00BA71D7"/>
    <w:rsid w:val="00BB189E"/>
    <w:rsid w:val="00BB1C79"/>
    <w:rsid w:val="00BB43A7"/>
    <w:rsid w:val="00BB6CBE"/>
    <w:rsid w:val="00BC33AA"/>
    <w:rsid w:val="00BC43A7"/>
    <w:rsid w:val="00BC5C6B"/>
    <w:rsid w:val="00BD1647"/>
    <w:rsid w:val="00BD20F5"/>
    <w:rsid w:val="00BD2477"/>
    <w:rsid w:val="00BD2E05"/>
    <w:rsid w:val="00BD4927"/>
    <w:rsid w:val="00BD662C"/>
    <w:rsid w:val="00BD73A6"/>
    <w:rsid w:val="00BE2109"/>
    <w:rsid w:val="00BE3219"/>
    <w:rsid w:val="00BE33C5"/>
    <w:rsid w:val="00BE5FEE"/>
    <w:rsid w:val="00BE70FD"/>
    <w:rsid w:val="00BE7851"/>
    <w:rsid w:val="00BF1DF7"/>
    <w:rsid w:val="00BF2317"/>
    <w:rsid w:val="00BF56F5"/>
    <w:rsid w:val="00BF70A7"/>
    <w:rsid w:val="00C022AE"/>
    <w:rsid w:val="00C05ADA"/>
    <w:rsid w:val="00C10342"/>
    <w:rsid w:val="00C10A47"/>
    <w:rsid w:val="00C114FA"/>
    <w:rsid w:val="00C12636"/>
    <w:rsid w:val="00C22DF2"/>
    <w:rsid w:val="00C22F1C"/>
    <w:rsid w:val="00C24A21"/>
    <w:rsid w:val="00C25E43"/>
    <w:rsid w:val="00C30181"/>
    <w:rsid w:val="00C3119A"/>
    <w:rsid w:val="00C34B6C"/>
    <w:rsid w:val="00C37832"/>
    <w:rsid w:val="00C40F76"/>
    <w:rsid w:val="00C415E0"/>
    <w:rsid w:val="00C4179A"/>
    <w:rsid w:val="00C41AE9"/>
    <w:rsid w:val="00C42770"/>
    <w:rsid w:val="00C42A69"/>
    <w:rsid w:val="00C432DB"/>
    <w:rsid w:val="00C4356B"/>
    <w:rsid w:val="00C45F80"/>
    <w:rsid w:val="00C47269"/>
    <w:rsid w:val="00C473E8"/>
    <w:rsid w:val="00C510D6"/>
    <w:rsid w:val="00C510F1"/>
    <w:rsid w:val="00C531B1"/>
    <w:rsid w:val="00C53DE3"/>
    <w:rsid w:val="00C575D5"/>
    <w:rsid w:val="00C603C7"/>
    <w:rsid w:val="00C60981"/>
    <w:rsid w:val="00C63ED8"/>
    <w:rsid w:val="00C7093A"/>
    <w:rsid w:val="00C74621"/>
    <w:rsid w:val="00C748A2"/>
    <w:rsid w:val="00C75D27"/>
    <w:rsid w:val="00C80786"/>
    <w:rsid w:val="00C820F4"/>
    <w:rsid w:val="00C82287"/>
    <w:rsid w:val="00C84F60"/>
    <w:rsid w:val="00C85935"/>
    <w:rsid w:val="00C866D7"/>
    <w:rsid w:val="00C872F9"/>
    <w:rsid w:val="00C8795D"/>
    <w:rsid w:val="00C939F4"/>
    <w:rsid w:val="00C94A9A"/>
    <w:rsid w:val="00C96FA0"/>
    <w:rsid w:val="00CA13BF"/>
    <w:rsid w:val="00CA2CD2"/>
    <w:rsid w:val="00CA44B7"/>
    <w:rsid w:val="00CA588A"/>
    <w:rsid w:val="00CA756E"/>
    <w:rsid w:val="00CB26EA"/>
    <w:rsid w:val="00CB4534"/>
    <w:rsid w:val="00CB71D3"/>
    <w:rsid w:val="00CB76A9"/>
    <w:rsid w:val="00CB7986"/>
    <w:rsid w:val="00CC122C"/>
    <w:rsid w:val="00CC7AF1"/>
    <w:rsid w:val="00CD41CE"/>
    <w:rsid w:val="00CD460A"/>
    <w:rsid w:val="00CD508F"/>
    <w:rsid w:val="00CD7C41"/>
    <w:rsid w:val="00CD7E7A"/>
    <w:rsid w:val="00CE08ED"/>
    <w:rsid w:val="00CE69DC"/>
    <w:rsid w:val="00CF1279"/>
    <w:rsid w:val="00CF1418"/>
    <w:rsid w:val="00CF3467"/>
    <w:rsid w:val="00CF3C05"/>
    <w:rsid w:val="00CF427B"/>
    <w:rsid w:val="00CF4B2D"/>
    <w:rsid w:val="00CF4ECA"/>
    <w:rsid w:val="00D01B0F"/>
    <w:rsid w:val="00D02C73"/>
    <w:rsid w:val="00D0309E"/>
    <w:rsid w:val="00D05C29"/>
    <w:rsid w:val="00D108E1"/>
    <w:rsid w:val="00D11309"/>
    <w:rsid w:val="00D14F24"/>
    <w:rsid w:val="00D17AD7"/>
    <w:rsid w:val="00D22219"/>
    <w:rsid w:val="00D24E68"/>
    <w:rsid w:val="00D24F76"/>
    <w:rsid w:val="00D2637B"/>
    <w:rsid w:val="00D27B0E"/>
    <w:rsid w:val="00D318E8"/>
    <w:rsid w:val="00D3231F"/>
    <w:rsid w:val="00D32E07"/>
    <w:rsid w:val="00D349C1"/>
    <w:rsid w:val="00D35602"/>
    <w:rsid w:val="00D36AA6"/>
    <w:rsid w:val="00D37A57"/>
    <w:rsid w:val="00D401CB"/>
    <w:rsid w:val="00D41E51"/>
    <w:rsid w:val="00D44842"/>
    <w:rsid w:val="00D4673D"/>
    <w:rsid w:val="00D47D3A"/>
    <w:rsid w:val="00D52425"/>
    <w:rsid w:val="00D550F5"/>
    <w:rsid w:val="00D552FA"/>
    <w:rsid w:val="00D55F55"/>
    <w:rsid w:val="00D56C95"/>
    <w:rsid w:val="00D5772C"/>
    <w:rsid w:val="00D63A45"/>
    <w:rsid w:val="00D63E8D"/>
    <w:rsid w:val="00D63FB7"/>
    <w:rsid w:val="00D64459"/>
    <w:rsid w:val="00D65107"/>
    <w:rsid w:val="00D657DF"/>
    <w:rsid w:val="00D66338"/>
    <w:rsid w:val="00D70BAD"/>
    <w:rsid w:val="00D7118E"/>
    <w:rsid w:val="00D71215"/>
    <w:rsid w:val="00D712A2"/>
    <w:rsid w:val="00D725F1"/>
    <w:rsid w:val="00D74C79"/>
    <w:rsid w:val="00D8221C"/>
    <w:rsid w:val="00D82C23"/>
    <w:rsid w:val="00D8327B"/>
    <w:rsid w:val="00D84300"/>
    <w:rsid w:val="00D85008"/>
    <w:rsid w:val="00D86D6E"/>
    <w:rsid w:val="00D8711F"/>
    <w:rsid w:val="00D94F61"/>
    <w:rsid w:val="00D9530C"/>
    <w:rsid w:val="00D96DF0"/>
    <w:rsid w:val="00D97535"/>
    <w:rsid w:val="00DA278B"/>
    <w:rsid w:val="00DA55F0"/>
    <w:rsid w:val="00DA6B99"/>
    <w:rsid w:val="00DB021B"/>
    <w:rsid w:val="00DB0522"/>
    <w:rsid w:val="00DB31A5"/>
    <w:rsid w:val="00DB335B"/>
    <w:rsid w:val="00DB424C"/>
    <w:rsid w:val="00DB4C86"/>
    <w:rsid w:val="00DB54CF"/>
    <w:rsid w:val="00DB65A7"/>
    <w:rsid w:val="00DC1145"/>
    <w:rsid w:val="00DC34B9"/>
    <w:rsid w:val="00DC3737"/>
    <w:rsid w:val="00DD00DA"/>
    <w:rsid w:val="00DD1B98"/>
    <w:rsid w:val="00DD2A92"/>
    <w:rsid w:val="00DD43BC"/>
    <w:rsid w:val="00DD62FF"/>
    <w:rsid w:val="00DD7B9A"/>
    <w:rsid w:val="00DE0834"/>
    <w:rsid w:val="00DE1B17"/>
    <w:rsid w:val="00DE33D0"/>
    <w:rsid w:val="00DE3DC8"/>
    <w:rsid w:val="00DE4055"/>
    <w:rsid w:val="00DF2611"/>
    <w:rsid w:val="00DF2A17"/>
    <w:rsid w:val="00DF455B"/>
    <w:rsid w:val="00DF49E3"/>
    <w:rsid w:val="00DF5F7C"/>
    <w:rsid w:val="00DF7C02"/>
    <w:rsid w:val="00E00D69"/>
    <w:rsid w:val="00E03ADA"/>
    <w:rsid w:val="00E05C46"/>
    <w:rsid w:val="00E05ED1"/>
    <w:rsid w:val="00E065B4"/>
    <w:rsid w:val="00E14089"/>
    <w:rsid w:val="00E15F5E"/>
    <w:rsid w:val="00E16581"/>
    <w:rsid w:val="00E16B8A"/>
    <w:rsid w:val="00E2152B"/>
    <w:rsid w:val="00E2692D"/>
    <w:rsid w:val="00E27E96"/>
    <w:rsid w:val="00E34270"/>
    <w:rsid w:val="00E34DBA"/>
    <w:rsid w:val="00E44313"/>
    <w:rsid w:val="00E517F0"/>
    <w:rsid w:val="00E51AC0"/>
    <w:rsid w:val="00E51D1F"/>
    <w:rsid w:val="00E51E67"/>
    <w:rsid w:val="00E5272F"/>
    <w:rsid w:val="00E5357D"/>
    <w:rsid w:val="00E5450E"/>
    <w:rsid w:val="00E5653B"/>
    <w:rsid w:val="00E60962"/>
    <w:rsid w:val="00E624C0"/>
    <w:rsid w:val="00E6261B"/>
    <w:rsid w:val="00E629B8"/>
    <w:rsid w:val="00E6727A"/>
    <w:rsid w:val="00E70123"/>
    <w:rsid w:val="00E749B6"/>
    <w:rsid w:val="00E75699"/>
    <w:rsid w:val="00E80E38"/>
    <w:rsid w:val="00E81B7A"/>
    <w:rsid w:val="00E82637"/>
    <w:rsid w:val="00E83ED4"/>
    <w:rsid w:val="00E84E3A"/>
    <w:rsid w:val="00E86297"/>
    <w:rsid w:val="00E87226"/>
    <w:rsid w:val="00E877BA"/>
    <w:rsid w:val="00E87F21"/>
    <w:rsid w:val="00E937E4"/>
    <w:rsid w:val="00E949C6"/>
    <w:rsid w:val="00E94F89"/>
    <w:rsid w:val="00E95767"/>
    <w:rsid w:val="00EA150E"/>
    <w:rsid w:val="00EA162F"/>
    <w:rsid w:val="00EA3A1E"/>
    <w:rsid w:val="00EA488A"/>
    <w:rsid w:val="00EC1EE3"/>
    <w:rsid w:val="00EC3702"/>
    <w:rsid w:val="00EC5022"/>
    <w:rsid w:val="00ED183E"/>
    <w:rsid w:val="00ED23C9"/>
    <w:rsid w:val="00ED26C2"/>
    <w:rsid w:val="00ED3132"/>
    <w:rsid w:val="00ED4E3D"/>
    <w:rsid w:val="00ED758B"/>
    <w:rsid w:val="00ED7B1E"/>
    <w:rsid w:val="00EE13D8"/>
    <w:rsid w:val="00EE1A75"/>
    <w:rsid w:val="00EE1A7F"/>
    <w:rsid w:val="00EE2336"/>
    <w:rsid w:val="00EF0D88"/>
    <w:rsid w:val="00EF29D1"/>
    <w:rsid w:val="00EF396A"/>
    <w:rsid w:val="00F001D6"/>
    <w:rsid w:val="00F0037A"/>
    <w:rsid w:val="00F010A3"/>
    <w:rsid w:val="00F01C2A"/>
    <w:rsid w:val="00F0581C"/>
    <w:rsid w:val="00F06B63"/>
    <w:rsid w:val="00F078E9"/>
    <w:rsid w:val="00F11CC5"/>
    <w:rsid w:val="00F1714B"/>
    <w:rsid w:val="00F21ACA"/>
    <w:rsid w:val="00F23C0D"/>
    <w:rsid w:val="00F255AD"/>
    <w:rsid w:val="00F25CBE"/>
    <w:rsid w:val="00F3220E"/>
    <w:rsid w:val="00F32CCC"/>
    <w:rsid w:val="00F3309F"/>
    <w:rsid w:val="00F35378"/>
    <w:rsid w:val="00F35A5E"/>
    <w:rsid w:val="00F3608D"/>
    <w:rsid w:val="00F36145"/>
    <w:rsid w:val="00F365C8"/>
    <w:rsid w:val="00F407EE"/>
    <w:rsid w:val="00F40AD1"/>
    <w:rsid w:val="00F41EF9"/>
    <w:rsid w:val="00F4203B"/>
    <w:rsid w:val="00F42420"/>
    <w:rsid w:val="00F43BF6"/>
    <w:rsid w:val="00F45BD8"/>
    <w:rsid w:val="00F503CE"/>
    <w:rsid w:val="00F51E22"/>
    <w:rsid w:val="00F534E3"/>
    <w:rsid w:val="00F5553F"/>
    <w:rsid w:val="00F6194C"/>
    <w:rsid w:val="00F64DD6"/>
    <w:rsid w:val="00F72BDB"/>
    <w:rsid w:val="00F7304C"/>
    <w:rsid w:val="00F749EE"/>
    <w:rsid w:val="00F765E0"/>
    <w:rsid w:val="00F76ACD"/>
    <w:rsid w:val="00F8371A"/>
    <w:rsid w:val="00F848B3"/>
    <w:rsid w:val="00F90453"/>
    <w:rsid w:val="00F90701"/>
    <w:rsid w:val="00F92210"/>
    <w:rsid w:val="00F964DC"/>
    <w:rsid w:val="00F9678C"/>
    <w:rsid w:val="00F977C1"/>
    <w:rsid w:val="00FA188F"/>
    <w:rsid w:val="00FA1939"/>
    <w:rsid w:val="00FA2880"/>
    <w:rsid w:val="00FA4B28"/>
    <w:rsid w:val="00FA4BE3"/>
    <w:rsid w:val="00FA5C94"/>
    <w:rsid w:val="00FA7B88"/>
    <w:rsid w:val="00FB0B16"/>
    <w:rsid w:val="00FB6B9D"/>
    <w:rsid w:val="00FB741D"/>
    <w:rsid w:val="00FC2918"/>
    <w:rsid w:val="00FC6B97"/>
    <w:rsid w:val="00FC7AFB"/>
    <w:rsid w:val="00FC7E5F"/>
    <w:rsid w:val="00FD107C"/>
    <w:rsid w:val="00FD2C90"/>
    <w:rsid w:val="00FD4E46"/>
    <w:rsid w:val="00FD50B6"/>
    <w:rsid w:val="00FD5899"/>
    <w:rsid w:val="00FD5D63"/>
    <w:rsid w:val="00FD634E"/>
    <w:rsid w:val="00FD6F61"/>
    <w:rsid w:val="00FD7665"/>
    <w:rsid w:val="00FD7CBD"/>
    <w:rsid w:val="00FE2044"/>
    <w:rsid w:val="00FE2C12"/>
    <w:rsid w:val="00FE3B8B"/>
    <w:rsid w:val="00FE3D83"/>
    <w:rsid w:val="00FE4C82"/>
    <w:rsid w:val="00FE68D1"/>
    <w:rsid w:val="00FE7167"/>
    <w:rsid w:val="00FF1F87"/>
    <w:rsid w:val="00FF3054"/>
    <w:rsid w:val="00FF46EA"/>
    <w:rsid w:val="00FF5514"/>
    <w:rsid w:val="00FF55B5"/>
    <w:rsid w:val="00FF584F"/>
    <w:rsid w:val="00FF5FD0"/>
    <w:rsid w:val="00FF65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B9525"/>
  <w15:chartTrackingRefBased/>
  <w15:docId w15:val="{2B29690C-F628-418D-BE90-11CFDABE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457"/>
    <w:rPr>
      <w:sz w:val="24"/>
      <w:szCs w:val="24"/>
      <w:lang w:val="en-GB" w:eastAsia="en-US"/>
    </w:rPr>
  </w:style>
  <w:style w:type="paragraph" w:styleId="Naslov2">
    <w:name w:val="heading 2"/>
    <w:basedOn w:val="Normal"/>
    <w:next w:val="Normal"/>
    <w:link w:val="Naslov2Char"/>
    <w:uiPriority w:val="9"/>
    <w:semiHidden/>
    <w:unhideWhenUsed/>
    <w:qFormat/>
    <w:rsid w:val="00BD2E05"/>
    <w:pPr>
      <w:keepNext/>
      <w:keepLines/>
      <w:spacing w:before="40" w:line="259" w:lineRule="auto"/>
      <w:outlineLvl w:val="1"/>
    </w:pPr>
    <w:rPr>
      <w:rFonts w:ascii="Calibri Light" w:hAnsi="Calibri Light"/>
      <w:color w:val="2F5496"/>
      <w:sz w:val="26"/>
      <w:szCs w:val="2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1E5457"/>
    <w:pPr>
      <w:tabs>
        <w:tab w:val="center" w:pos="4536"/>
        <w:tab w:val="right" w:pos="9072"/>
      </w:tabs>
    </w:pPr>
  </w:style>
  <w:style w:type="character" w:customStyle="1" w:styleId="PodnojeChar">
    <w:name w:val="Podnožje Char"/>
    <w:link w:val="Podnoje"/>
    <w:locked/>
    <w:rPr>
      <w:rFonts w:cs="Times New Roman"/>
      <w:sz w:val="24"/>
      <w:szCs w:val="24"/>
      <w:lang w:val="en-GB" w:eastAsia="en-US"/>
    </w:rPr>
  </w:style>
  <w:style w:type="character" w:styleId="Brojstranice">
    <w:name w:val="page number"/>
    <w:uiPriority w:val="99"/>
    <w:rsid w:val="001E5457"/>
    <w:rPr>
      <w:rFonts w:cs="Times New Roman"/>
    </w:rPr>
  </w:style>
  <w:style w:type="paragraph" w:styleId="Zaglavlje">
    <w:name w:val="header"/>
    <w:basedOn w:val="Normal"/>
    <w:link w:val="ZaglavljeChar"/>
    <w:rsid w:val="00E70123"/>
    <w:pPr>
      <w:tabs>
        <w:tab w:val="center" w:pos="4536"/>
        <w:tab w:val="right" w:pos="9072"/>
      </w:tabs>
    </w:pPr>
  </w:style>
  <w:style w:type="character" w:customStyle="1" w:styleId="ZaglavljeChar">
    <w:name w:val="Zaglavlje Char"/>
    <w:link w:val="Zaglavlje"/>
    <w:locked/>
    <w:rPr>
      <w:rFonts w:cs="Times New Roman"/>
      <w:sz w:val="24"/>
      <w:szCs w:val="24"/>
      <w:lang w:val="en-GB" w:eastAsia="en-US"/>
    </w:rPr>
  </w:style>
  <w:style w:type="paragraph" w:styleId="Tekstbalonia">
    <w:name w:val="Balloon Text"/>
    <w:basedOn w:val="Normal"/>
    <w:link w:val="TekstbaloniaChar"/>
    <w:uiPriority w:val="99"/>
    <w:semiHidden/>
    <w:rsid w:val="00142B00"/>
    <w:rPr>
      <w:rFonts w:ascii="Tahoma" w:hAnsi="Tahoma" w:cs="Tahoma"/>
      <w:sz w:val="16"/>
      <w:szCs w:val="16"/>
    </w:rPr>
  </w:style>
  <w:style w:type="character" w:customStyle="1" w:styleId="TekstbaloniaChar">
    <w:name w:val="Tekst balončića Char"/>
    <w:link w:val="Tekstbalonia"/>
    <w:uiPriority w:val="99"/>
    <w:semiHidden/>
    <w:locked/>
    <w:rPr>
      <w:rFonts w:cs="Times New Roman"/>
      <w:sz w:val="2"/>
      <w:lang w:val="en-GB" w:eastAsia="en-US"/>
    </w:rPr>
  </w:style>
  <w:style w:type="paragraph" w:styleId="Odlomakpopisa">
    <w:name w:val="List Paragraph"/>
    <w:basedOn w:val="Normal"/>
    <w:uiPriority w:val="34"/>
    <w:qFormat/>
    <w:rsid w:val="00ED4E3D"/>
    <w:pPr>
      <w:ind w:left="708"/>
    </w:pPr>
  </w:style>
  <w:style w:type="character" w:styleId="Referencakomentara">
    <w:name w:val="annotation reference"/>
    <w:rsid w:val="00B47EC0"/>
    <w:rPr>
      <w:sz w:val="16"/>
      <w:szCs w:val="16"/>
    </w:rPr>
  </w:style>
  <w:style w:type="paragraph" w:styleId="Tekstkomentara">
    <w:name w:val="annotation text"/>
    <w:basedOn w:val="Normal"/>
    <w:link w:val="TekstkomentaraChar"/>
    <w:rsid w:val="00B47EC0"/>
    <w:rPr>
      <w:sz w:val="20"/>
      <w:szCs w:val="20"/>
    </w:rPr>
  </w:style>
  <w:style w:type="character" w:customStyle="1" w:styleId="TekstkomentaraChar">
    <w:name w:val="Tekst komentara Char"/>
    <w:link w:val="Tekstkomentara"/>
    <w:rsid w:val="00B47EC0"/>
    <w:rPr>
      <w:lang w:val="en-GB" w:eastAsia="en-US"/>
    </w:rPr>
  </w:style>
  <w:style w:type="paragraph" w:styleId="Predmetkomentara">
    <w:name w:val="annotation subject"/>
    <w:basedOn w:val="Tekstkomentara"/>
    <w:next w:val="Tekstkomentara"/>
    <w:link w:val="PredmetkomentaraChar"/>
    <w:rsid w:val="00B47EC0"/>
    <w:rPr>
      <w:b/>
      <w:bCs/>
    </w:rPr>
  </w:style>
  <w:style w:type="character" w:customStyle="1" w:styleId="PredmetkomentaraChar">
    <w:name w:val="Predmet komentara Char"/>
    <w:link w:val="Predmetkomentara"/>
    <w:rsid w:val="00B47EC0"/>
    <w:rPr>
      <w:b/>
      <w:bCs/>
      <w:lang w:val="en-GB" w:eastAsia="en-US"/>
    </w:rPr>
  </w:style>
  <w:style w:type="character" w:customStyle="1" w:styleId="Naslov2Char">
    <w:name w:val="Naslov 2 Char"/>
    <w:link w:val="Naslov2"/>
    <w:uiPriority w:val="9"/>
    <w:semiHidden/>
    <w:rsid w:val="00BD2E05"/>
    <w:rPr>
      <w:rFonts w:ascii="Calibri Light" w:hAnsi="Calibri Light"/>
      <w:color w:val="2F5496"/>
      <w:sz w:val="26"/>
      <w:szCs w:val="26"/>
    </w:rPr>
  </w:style>
  <w:style w:type="paragraph" w:customStyle="1" w:styleId="Standard">
    <w:name w:val="Standard"/>
    <w:rsid w:val="00BD2E05"/>
    <w:pPr>
      <w:suppressAutoHyphens/>
      <w:autoSpaceDN w:val="0"/>
    </w:pPr>
    <w:rPr>
      <w:kern w:val="3"/>
      <w:sz w:val="24"/>
      <w:szCs w:val="24"/>
      <w:lang w:eastAsia="zh-CN"/>
    </w:rPr>
  </w:style>
  <w:style w:type="paragraph" w:customStyle="1" w:styleId="t-9-8">
    <w:name w:val="t-9-8"/>
    <w:basedOn w:val="Normal"/>
    <w:rsid w:val="000C4C59"/>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8525">
      <w:bodyDiv w:val="1"/>
      <w:marLeft w:val="0"/>
      <w:marRight w:val="0"/>
      <w:marTop w:val="0"/>
      <w:marBottom w:val="0"/>
      <w:divBdr>
        <w:top w:val="none" w:sz="0" w:space="0" w:color="auto"/>
        <w:left w:val="none" w:sz="0" w:space="0" w:color="auto"/>
        <w:bottom w:val="none" w:sz="0" w:space="0" w:color="auto"/>
        <w:right w:val="none" w:sz="0" w:space="0" w:color="auto"/>
      </w:divBdr>
    </w:div>
    <w:div w:id="219052086">
      <w:bodyDiv w:val="1"/>
      <w:marLeft w:val="0"/>
      <w:marRight w:val="0"/>
      <w:marTop w:val="0"/>
      <w:marBottom w:val="0"/>
      <w:divBdr>
        <w:top w:val="none" w:sz="0" w:space="0" w:color="auto"/>
        <w:left w:val="none" w:sz="0" w:space="0" w:color="auto"/>
        <w:bottom w:val="none" w:sz="0" w:space="0" w:color="auto"/>
        <w:right w:val="none" w:sz="0" w:space="0" w:color="auto"/>
      </w:divBdr>
    </w:div>
    <w:div w:id="347947258">
      <w:bodyDiv w:val="1"/>
      <w:marLeft w:val="0"/>
      <w:marRight w:val="0"/>
      <w:marTop w:val="0"/>
      <w:marBottom w:val="0"/>
      <w:divBdr>
        <w:top w:val="none" w:sz="0" w:space="0" w:color="auto"/>
        <w:left w:val="none" w:sz="0" w:space="0" w:color="auto"/>
        <w:bottom w:val="none" w:sz="0" w:space="0" w:color="auto"/>
        <w:right w:val="none" w:sz="0" w:space="0" w:color="auto"/>
      </w:divBdr>
    </w:div>
    <w:div w:id="616061461">
      <w:bodyDiv w:val="1"/>
      <w:marLeft w:val="0"/>
      <w:marRight w:val="0"/>
      <w:marTop w:val="0"/>
      <w:marBottom w:val="0"/>
      <w:divBdr>
        <w:top w:val="none" w:sz="0" w:space="0" w:color="auto"/>
        <w:left w:val="none" w:sz="0" w:space="0" w:color="auto"/>
        <w:bottom w:val="none" w:sz="0" w:space="0" w:color="auto"/>
        <w:right w:val="none" w:sz="0" w:space="0" w:color="auto"/>
      </w:divBdr>
    </w:div>
    <w:div w:id="1073509991">
      <w:bodyDiv w:val="1"/>
      <w:marLeft w:val="0"/>
      <w:marRight w:val="0"/>
      <w:marTop w:val="0"/>
      <w:marBottom w:val="0"/>
      <w:divBdr>
        <w:top w:val="none" w:sz="0" w:space="0" w:color="auto"/>
        <w:left w:val="none" w:sz="0" w:space="0" w:color="auto"/>
        <w:bottom w:val="none" w:sz="0" w:space="0" w:color="auto"/>
        <w:right w:val="none" w:sz="0" w:space="0" w:color="auto"/>
      </w:divBdr>
    </w:div>
    <w:div w:id="1188714191">
      <w:bodyDiv w:val="1"/>
      <w:marLeft w:val="0"/>
      <w:marRight w:val="0"/>
      <w:marTop w:val="0"/>
      <w:marBottom w:val="0"/>
      <w:divBdr>
        <w:top w:val="none" w:sz="0" w:space="0" w:color="auto"/>
        <w:left w:val="none" w:sz="0" w:space="0" w:color="auto"/>
        <w:bottom w:val="none" w:sz="0" w:space="0" w:color="auto"/>
        <w:right w:val="none" w:sz="0" w:space="0" w:color="auto"/>
      </w:divBdr>
    </w:div>
    <w:div w:id="1254628524">
      <w:bodyDiv w:val="1"/>
      <w:marLeft w:val="0"/>
      <w:marRight w:val="0"/>
      <w:marTop w:val="0"/>
      <w:marBottom w:val="0"/>
      <w:divBdr>
        <w:top w:val="none" w:sz="0" w:space="0" w:color="auto"/>
        <w:left w:val="none" w:sz="0" w:space="0" w:color="auto"/>
        <w:bottom w:val="none" w:sz="0" w:space="0" w:color="auto"/>
        <w:right w:val="none" w:sz="0" w:space="0" w:color="auto"/>
      </w:divBdr>
    </w:div>
    <w:div w:id="1482035770">
      <w:bodyDiv w:val="1"/>
      <w:marLeft w:val="0"/>
      <w:marRight w:val="0"/>
      <w:marTop w:val="0"/>
      <w:marBottom w:val="0"/>
      <w:divBdr>
        <w:top w:val="none" w:sz="0" w:space="0" w:color="auto"/>
        <w:left w:val="none" w:sz="0" w:space="0" w:color="auto"/>
        <w:bottom w:val="none" w:sz="0" w:space="0" w:color="auto"/>
        <w:right w:val="none" w:sz="0" w:space="0" w:color="auto"/>
      </w:divBdr>
    </w:div>
    <w:div w:id="1529953133">
      <w:bodyDiv w:val="1"/>
      <w:marLeft w:val="0"/>
      <w:marRight w:val="0"/>
      <w:marTop w:val="0"/>
      <w:marBottom w:val="0"/>
      <w:divBdr>
        <w:top w:val="none" w:sz="0" w:space="0" w:color="auto"/>
        <w:left w:val="none" w:sz="0" w:space="0" w:color="auto"/>
        <w:bottom w:val="none" w:sz="0" w:space="0" w:color="auto"/>
        <w:right w:val="none" w:sz="0" w:space="0" w:color="auto"/>
      </w:divBdr>
    </w:div>
    <w:div w:id="1540043105">
      <w:bodyDiv w:val="1"/>
      <w:marLeft w:val="0"/>
      <w:marRight w:val="0"/>
      <w:marTop w:val="0"/>
      <w:marBottom w:val="0"/>
      <w:divBdr>
        <w:top w:val="none" w:sz="0" w:space="0" w:color="auto"/>
        <w:left w:val="none" w:sz="0" w:space="0" w:color="auto"/>
        <w:bottom w:val="none" w:sz="0" w:space="0" w:color="auto"/>
        <w:right w:val="none" w:sz="0" w:space="0" w:color="auto"/>
      </w:divBdr>
    </w:div>
    <w:div w:id="16751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VKF\AppData\Local\Microsoft\Windows\INetCache\Content.Outlook\47I1B3J3\2025-Graf%20polugodi&#353;nji-Pavic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VKF\AppData\Local\Microsoft\Windows\INetCache\Content.Outlook\47I1B3J3\2025-Graf%20polugodi&#353;nji-Pavic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VKF\AppData\Local\Microsoft\Windows\INetCache\Content.Outlook\47I1B3J3\2025-Graf%20polugodi&#353;nji-Pavic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b="1"/>
              <a:t>Prihodi po ekonomskoj klasifikaciji</a:t>
            </a:r>
            <a:endParaRPr lang="en-US" sz="1200" b="1"/>
          </a:p>
        </c:rich>
      </c:tx>
      <c:layout>
        <c:manualLayout>
          <c:xMode val="edge"/>
          <c:yMode val="edge"/>
          <c:x val="0.34206341090480574"/>
          <c:y val="7.293946024799416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00-4F92-A81E-62DABB3FE2A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00-4F92-A81E-62DABB3FE2A3}"/>
              </c:ext>
            </c:extLst>
          </c:dPt>
          <c:dPt>
            <c:idx val="2"/>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00-4F92-A81E-62DABB3FE2A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00-4F92-A81E-62DABB3FE2A3}"/>
              </c:ext>
            </c:extLst>
          </c:dPt>
          <c:dLbls>
            <c:dLbl>
              <c:idx val="0"/>
              <c:layout>
                <c:manualLayout>
                  <c:x val="-7.8436623993429384E-3"/>
                  <c:y val="-0.4042164176961468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00-4F92-A81E-62DABB3FE2A3}"/>
                </c:ext>
              </c:extLst>
            </c:dLbl>
            <c:dLbl>
              <c:idx val="1"/>
              <c:layout>
                <c:manualLayout>
                  <c:x val="-7.682676029132722E-2"/>
                  <c:y val="0.1283648351395900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00-4F92-A81E-62DABB3FE2A3}"/>
                </c:ext>
              </c:extLst>
            </c:dLbl>
            <c:dLbl>
              <c:idx val="2"/>
              <c:layout>
                <c:manualLayout>
                  <c:x val="-8.49724141625154E-2"/>
                  <c:y val="-0.1988157388422727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800-4F92-A81E-62DABB3FE2A3}"/>
                </c:ext>
              </c:extLst>
            </c:dLbl>
            <c:dLbl>
              <c:idx val="3"/>
              <c:layout>
                <c:manualLayout>
                  <c:x val="0.31724605852839821"/>
                  <c:y val="4.08317395774105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800-4F92-A81E-62DABB3FE2A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Prihodi!$A$2:$A$5</c:f>
              <c:strCache>
                <c:ptCount val="3"/>
                <c:pt idx="0">
                  <c:v>Tekuće pomoći proračunskim korisnicima iz  proračuna koji nije nadležan</c:v>
                </c:pt>
                <c:pt idx="1">
                  <c:v>Ostali prihodi-roditeljska uplata</c:v>
                </c:pt>
                <c:pt idx="2">
                  <c:v>Prihodi iz nadležnog proračuna za redovnu djelatnost</c:v>
                </c:pt>
              </c:strCache>
            </c:strRef>
          </c:cat>
          <c:val>
            <c:numRef>
              <c:f>Prihodi!$B$2:$B$5</c:f>
              <c:numCache>
                <c:formatCode>#,##0.00\ [$€-1];[Red]\-#,##0.00\ [$€-1]</c:formatCode>
                <c:ptCount val="4"/>
                <c:pt idx="0">
                  <c:v>1270253.28</c:v>
                </c:pt>
                <c:pt idx="1">
                  <c:v>297571.93</c:v>
                </c:pt>
                <c:pt idx="2">
                  <c:v>871821.1</c:v>
                </c:pt>
              </c:numCache>
            </c:numRef>
          </c:val>
          <c:extLst>
            <c:ext xmlns:c16="http://schemas.microsoft.com/office/drawing/2014/chart" uri="{C3380CC4-5D6E-409C-BE32-E72D297353CC}">
              <c16:uniqueId val="{00000008-0800-4F92-A81E-62DABB3FE2A3}"/>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lumMod val="60000"/>
          <a:lumOff val="40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1"/>
              <a:t>Rashodi po ekonomskoj klasifikaciji</a:t>
            </a:r>
          </a:p>
        </c:rich>
      </c:tx>
      <c:layout>
        <c:manualLayout>
          <c:xMode val="edge"/>
          <c:yMode val="edge"/>
          <c:x val="0.25923215023248991"/>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02342411061279"/>
          <c:y val="0.15837408261865357"/>
          <c:w val="0.73729608906182864"/>
          <c:h val="0.7620080829864419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788-4DFC-A2FC-46B607F15DD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788-4DFC-A2FC-46B607F15DD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788-4DFC-A2FC-46B607F15DD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788-4DFC-A2FC-46B607F15DD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788-4DFC-A2FC-46B607F15DD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788-4DFC-A2FC-46B607F15DD4}"/>
              </c:ext>
            </c:extLst>
          </c:dPt>
          <c:dLbls>
            <c:dLbl>
              <c:idx val="0"/>
              <c:layout>
                <c:manualLayout>
                  <c:x val="-0.18871857755977936"/>
                  <c:y val="0.223003835295635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788-4DFC-A2FC-46B607F15DD4}"/>
                </c:ext>
              </c:extLst>
            </c:dLbl>
            <c:dLbl>
              <c:idx val="1"/>
              <c:layout>
                <c:manualLayout>
                  <c:x val="2.6587293656820821E-2"/>
                  <c:y val="0.230050424499172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788-4DFC-A2FC-46B607F15DD4}"/>
                </c:ext>
              </c:extLst>
            </c:dLbl>
            <c:dLbl>
              <c:idx val="2"/>
              <c:layout>
                <c:manualLayout>
                  <c:x val="-2.2505062818924285E-2"/>
                  <c:y val="-0.145050023805894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788-4DFC-A2FC-46B607F15DD4}"/>
                </c:ext>
              </c:extLst>
            </c:dLbl>
            <c:dLbl>
              <c:idx val="3"/>
              <c:layout>
                <c:manualLayout>
                  <c:x val="-2.1792437747312043E-2"/>
                  <c:y val="-2.11342919592644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788-4DFC-A2FC-46B607F15DD4}"/>
                </c:ext>
              </c:extLst>
            </c:dLbl>
            <c:dLbl>
              <c:idx val="4"/>
              <c:layout>
                <c:manualLayout>
                  <c:x val="-6.5593981907083945E-2"/>
                  <c:y val="-2.08338505681202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788-4DFC-A2FC-46B607F15DD4}"/>
                </c:ext>
              </c:extLst>
            </c:dLbl>
            <c:dLbl>
              <c:idx val="5"/>
              <c:layout>
                <c:manualLayout>
                  <c:x val="0.24519665054558529"/>
                  <c:y val="3.498350872175701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788-4DFC-A2FC-46B607F15DD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Rashodi!$A$2:$A$7</c:f>
              <c:strCache>
                <c:ptCount val="6"/>
                <c:pt idx="0">
                  <c:v>Plaće za redovan rad</c:v>
                </c:pt>
                <c:pt idx="1">
                  <c:v>Ostali rashodi za zaposlene</c:v>
                </c:pt>
                <c:pt idx="2">
                  <c:v>Doprinosi za zdravstveno</c:v>
                </c:pt>
                <c:pt idx="3">
                  <c:v>Materijalni rashodi</c:v>
                </c:pt>
                <c:pt idx="4">
                  <c:v>Financijski rashodi</c:v>
                </c:pt>
                <c:pt idx="5">
                  <c:v>Rashodi za nabavu nefinancijske imovine</c:v>
                </c:pt>
              </c:strCache>
            </c:strRef>
          </c:cat>
          <c:val>
            <c:numRef>
              <c:f>Rashodi!$B$2:$B$7</c:f>
              <c:numCache>
                <c:formatCode>#,##0.00\ [$€-1];[Red]\-#,##0.00\ [$€-1]</c:formatCode>
                <c:ptCount val="6"/>
                <c:pt idx="0">
                  <c:v>1668079.79</c:v>
                </c:pt>
                <c:pt idx="1">
                  <c:v>103170.33</c:v>
                </c:pt>
                <c:pt idx="2">
                  <c:v>251494.64</c:v>
                </c:pt>
                <c:pt idx="3">
                  <c:v>396793.8</c:v>
                </c:pt>
                <c:pt idx="4">
                  <c:v>2315.9299999999998</c:v>
                </c:pt>
                <c:pt idx="5">
                  <c:v>1169.0999999999999</c:v>
                </c:pt>
              </c:numCache>
            </c:numRef>
          </c:val>
          <c:extLst>
            <c:ext xmlns:c16="http://schemas.microsoft.com/office/drawing/2014/chart" uri="{C3380CC4-5D6E-409C-BE32-E72D297353CC}">
              <c16:uniqueId val="{0000000C-F788-4DFC-A2FC-46B607F15DD4}"/>
            </c:ext>
          </c:extLst>
        </c:ser>
        <c:dLbls>
          <c:showLegendKey val="0"/>
          <c:showVal val="0"/>
          <c:showCatName val="0"/>
          <c:showSerName val="0"/>
          <c:showPercent val="0"/>
          <c:showBubbleSize val="0"/>
          <c:showLeaderLines val="1"/>
        </c:dLbls>
      </c:pie3DChart>
      <c:spPr>
        <a:noFill/>
        <a:ln>
          <a:solidFill>
            <a:schemeClr val="bg1">
              <a:alpha val="99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lumMod val="60000"/>
          <a:lumOff val="40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PRIHODI i RASHODI </a:t>
            </a:r>
            <a:r>
              <a:rPr lang="hr-HR" sz="1200" b="1">
                <a:latin typeface="Times New Roman" panose="02020603050405020304" pitchFamily="18" charset="0"/>
                <a:cs typeface="Times New Roman" panose="02020603050405020304" pitchFamily="18" charset="0"/>
              </a:rPr>
              <a:t>prema </a:t>
            </a:r>
            <a:r>
              <a:rPr lang="en-US" sz="1200" b="1">
                <a:latin typeface="Times New Roman" panose="02020603050405020304" pitchFamily="18" charset="0"/>
                <a:cs typeface="Times New Roman" panose="02020603050405020304" pitchFamily="18" charset="0"/>
              </a:rPr>
              <a:t>IZVORIMA FINANCIRANJA</a:t>
            </a:r>
          </a:p>
        </c:rich>
      </c:tx>
      <c:layout>
        <c:manualLayout>
          <c:xMode val="edge"/>
          <c:yMode val="edge"/>
          <c:x val="0.11211111111111111"/>
          <c:y val="4.629629629629629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spPr>
            <a:solidFill>
              <a:schemeClr val="accent1"/>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'-1'!$B$2:$G$2</c:f>
            </c:numRef>
          </c:val>
          <c:extLst>
            <c:ext xmlns:c16="http://schemas.microsoft.com/office/drawing/2014/chart" uri="{C3380CC4-5D6E-409C-BE32-E72D297353CC}">
              <c16:uniqueId val="{00000000-2AA9-4ED3-85D3-8E7015BF4E80}"/>
            </c:ext>
          </c:extLst>
        </c:ser>
        <c:ser>
          <c:idx val="1"/>
          <c:order val="1"/>
          <c:spPr>
            <a:solidFill>
              <a:schemeClr val="accent2"/>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'-1'!$B$3:$G$3</c:f>
            </c:numRef>
          </c:val>
          <c:extLst>
            <c:ext xmlns:c16="http://schemas.microsoft.com/office/drawing/2014/chart" uri="{C3380CC4-5D6E-409C-BE32-E72D297353CC}">
              <c16:uniqueId val="{00000001-2AA9-4ED3-85D3-8E7015BF4E80}"/>
            </c:ext>
          </c:extLst>
        </c:ser>
        <c:ser>
          <c:idx val="2"/>
          <c:order val="2"/>
          <c:spPr>
            <a:solidFill>
              <a:schemeClr val="accent3"/>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'-1'!$B$4:$G$4</c:f>
            </c:numRef>
          </c:val>
          <c:extLst>
            <c:ext xmlns:c16="http://schemas.microsoft.com/office/drawing/2014/chart" uri="{C3380CC4-5D6E-409C-BE32-E72D297353CC}">
              <c16:uniqueId val="{00000002-2AA9-4ED3-85D3-8E7015BF4E80}"/>
            </c:ext>
          </c:extLst>
        </c:ser>
        <c:ser>
          <c:idx val="3"/>
          <c:order val="3"/>
          <c:spPr>
            <a:solidFill>
              <a:schemeClr val="accent4"/>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'-1'!$B$5:$G$5</c:f>
            </c:numRef>
          </c:val>
          <c:extLst>
            <c:ext xmlns:c16="http://schemas.microsoft.com/office/drawing/2014/chart" uri="{C3380CC4-5D6E-409C-BE32-E72D297353CC}">
              <c16:uniqueId val="{00000003-2AA9-4ED3-85D3-8E7015BF4E80}"/>
            </c:ext>
          </c:extLst>
        </c:ser>
        <c:ser>
          <c:idx val="4"/>
          <c:order val="4"/>
          <c:spPr>
            <a:solidFill>
              <a:schemeClr val="accent5"/>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5-2AA9-4ED3-85D3-8E7015BF4E80}"/>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7-2AA9-4ED3-85D3-8E7015BF4E80}"/>
              </c:ext>
            </c:extLst>
          </c:dPt>
          <c:dPt>
            <c:idx val="2"/>
            <c:invertIfNegative val="0"/>
            <c:bubble3D val="0"/>
            <c:spPr>
              <a:solidFill>
                <a:srgbClr val="92D050"/>
              </a:solidFill>
              <a:ln>
                <a:noFill/>
              </a:ln>
              <a:effectLst/>
            </c:spPr>
            <c:extLst>
              <c:ext xmlns:c16="http://schemas.microsoft.com/office/drawing/2014/chart" uri="{C3380CC4-5D6E-409C-BE32-E72D297353CC}">
                <c16:uniqueId val="{00000009-2AA9-4ED3-85D3-8E7015BF4E80}"/>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B-2AA9-4ED3-85D3-8E7015BF4E80}"/>
              </c:ext>
            </c:extLst>
          </c:dPt>
          <c:dPt>
            <c:idx val="4"/>
            <c:invertIfNegative val="0"/>
            <c:bubble3D val="0"/>
            <c:spPr>
              <a:solidFill>
                <a:srgbClr val="92D050"/>
              </a:solidFill>
              <a:ln>
                <a:noFill/>
              </a:ln>
              <a:effectLst/>
            </c:spPr>
            <c:extLst>
              <c:ext xmlns:c16="http://schemas.microsoft.com/office/drawing/2014/chart" uri="{C3380CC4-5D6E-409C-BE32-E72D297353CC}">
                <c16:uniqueId val="{0000000D-2AA9-4ED3-85D3-8E7015BF4E80}"/>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F-2AA9-4ED3-85D3-8E7015BF4E80}"/>
              </c:ext>
            </c:extLst>
          </c:dPt>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'-1'!$B$6:$G$6</c:f>
              <c:numCache>
                <c:formatCode>#,##0.00</c:formatCode>
                <c:ptCount val="6"/>
                <c:pt idx="0">
                  <c:v>767241.1</c:v>
                </c:pt>
                <c:pt idx="1">
                  <c:v>767241.1</c:v>
                </c:pt>
                <c:pt idx="2">
                  <c:v>1373333.28</c:v>
                </c:pt>
                <c:pt idx="3">
                  <c:v>1373333.28</c:v>
                </c:pt>
                <c:pt idx="4">
                  <c:v>297571.93</c:v>
                </c:pt>
                <c:pt idx="5">
                  <c:v>282449.21000000002</c:v>
                </c:pt>
              </c:numCache>
            </c:numRef>
          </c:val>
          <c:extLst>
            <c:ext xmlns:c16="http://schemas.microsoft.com/office/drawing/2014/chart" uri="{C3380CC4-5D6E-409C-BE32-E72D297353CC}">
              <c16:uniqueId val="{00000010-2AA9-4ED3-85D3-8E7015BF4E80}"/>
            </c:ext>
          </c:extLst>
        </c:ser>
        <c:dLbls>
          <c:showLegendKey val="0"/>
          <c:showVal val="0"/>
          <c:showCatName val="0"/>
          <c:showSerName val="0"/>
          <c:showPercent val="0"/>
          <c:showBubbleSize val="0"/>
        </c:dLbls>
        <c:gapWidth val="219"/>
        <c:overlap val="-27"/>
        <c:axId val="104454528"/>
        <c:axId val="324083152"/>
      </c:barChart>
      <c:catAx>
        <c:axId val="104454528"/>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24083152"/>
        <c:crosses val="autoZero"/>
        <c:auto val="1"/>
        <c:lblAlgn val="ctr"/>
        <c:lblOffset val="100"/>
        <c:noMultiLvlLbl val="0"/>
      </c:catAx>
      <c:valAx>
        <c:axId val="324083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4454528"/>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5A54-6BAA-43AC-B784-9273502B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10</Pages>
  <Words>3921</Words>
  <Characters>24058</Characters>
  <Application>Microsoft Office Word</Application>
  <DocSecurity>0</DocSecurity>
  <Lines>200</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Krk</vt:lpstr>
      <vt:lpstr>Grad Krk</vt:lpstr>
    </vt:vector>
  </TitlesOfParts>
  <Company>VRTIC</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Krk</dc:title>
  <dc:subject/>
  <dc:creator>PRVI</dc:creator>
  <cp:keywords/>
  <dc:description/>
  <cp:lastModifiedBy>DVKF</cp:lastModifiedBy>
  <cp:revision>70</cp:revision>
  <cp:lastPrinted>2025-07-23T05:46:00Z</cp:lastPrinted>
  <dcterms:created xsi:type="dcterms:W3CDTF">2024-07-30T08:26:00Z</dcterms:created>
  <dcterms:modified xsi:type="dcterms:W3CDTF">2025-07-23T05:49:00Z</dcterms:modified>
</cp:coreProperties>
</file>